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D8F97" w14:textId="77777777" w:rsidR="00115896" w:rsidRPr="00005090" w:rsidRDefault="00115896" w:rsidP="00115896">
      <w:pPr>
        <w:spacing w:after="120"/>
        <w:jc w:val="center"/>
        <w:rPr>
          <w:b/>
          <w:color w:val="000000"/>
          <w:szCs w:val="24"/>
        </w:rPr>
      </w:pPr>
      <w:r w:rsidRPr="001E17B6">
        <w:rPr>
          <w:b/>
          <w:color w:val="000000"/>
          <w:szCs w:val="24"/>
        </w:rPr>
        <w:t>ТРЕБОВАНИЯ К ОФОРМЛЕНИЮ ДОКЛАДА</w:t>
      </w:r>
      <w:r>
        <w:rPr>
          <w:b/>
          <w:color w:val="000000"/>
          <w:szCs w:val="24"/>
        </w:rPr>
        <w:br/>
      </w:r>
      <w:r w:rsidRPr="001E17B6">
        <w:rPr>
          <w:b/>
          <w:color w:val="000000"/>
          <w:szCs w:val="24"/>
        </w:rPr>
        <w:t>ДЛЯ ВКЛЮЧЕНИЯ</w:t>
      </w:r>
      <w:r>
        <w:rPr>
          <w:b/>
          <w:color w:val="000000"/>
          <w:szCs w:val="24"/>
        </w:rPr>
        <w:t xml:space="preserve"> </w:t>
      </w:r>
      <w:r w:rsidRPr="001E17B6">
        <w:rPr>
          <w:b/>
          <w:color w:val="000000"/>
          <w:szCs w:val="24"/>
        </w:rPr>
        <w:t>В СБОРНИК ТРУДОВ</w:t>
      </w:r>
      <w:r>
        <w:rPr>
          <w:b/>
          <w:color w:val="000000"/>
          <w:szCs w:val="24"/>
        </w:rPr>
        <w:br/>
      </w:r>
      <w:r w:rsidRPr="001E17B6">
        <w:rPr>
          <w:b/>
          <w:color w:val="000000"/>
          <w:szCs w:val="24"/>
        </w:rPr>
        <w:t xml:space="preserve">НАУЧНО-ПРАКТИЧЕСКОЙ </w:t>
      </w:r>
      <w:r w:rsidRPr="002023B2">
        <w:rPr>
          <w:b/>
          <w:color w:val="000000"/>
          <w:szCs w:val="24"/>
        </w:rPr>
        <w:t xml:space="preserve">КОНФЕРЕНЦИИ </w:t>
      </w:r>
      <w:r w:rsidR="00005090" w:rsidRPr="002023B2">
        <w:rPr>
          <w:b/>
          <w:color w:val="000000"/>
          <w:szCs w:val="24"/>
        </w:rPr>
        <w:t>МАГ-20</w:t>
      </w:r>
      <w:r w:rsidR="00DB2213">
        <w:rPr>
          <w:b/>
          <w:color w:val="000000"/>
          <w:szCs w:val="24"/>
        </w:rPr>
        <w:t>25</w:t>
      </w:r>
    </w:p>
    <w:p w14:paraId="5D4A4D06" w14:textId="77777777" w:rsidR="00115896" w:rsidRPr="00124326" w:rsidRDefault="00115896" w:rsidP="00583399">
      <w:pPr>
        <w:spacing w:after="120"/>
        <w:ind w:firstLine="567"/>
        <w:contextualSpacing/>
        <w:jc w:val="both"/>
        <w:rPr>
          <w:color w:val="000000"/>
          <w:szCs w:val="24"/>
        </w:rPr>
      </w:pPr>
      <w:r w:rsidRPr="00124326">
        <w:rPr>
          <w:color w:val="000000"/>
          <w:szCs w:val="24"/>
        </w:rPr>
        <w:t xml:space="preserve">Доклад предоставляется в электронном виде объемом не более 4 полных страниц в редакторе </w:t>
      </w:r>
      <w:r w:rsidRPr="00124326">
        <w:rPr>
          <w:i/>
          <w:color w:val="000000"/>
          <w:szCs w:val="24"/>
          <w:lang w:val="en-US"/>
        </w:rPr>
        <w:t>Microsoft</w:t>
      </w:r>
      <w:r w:rsidRPr="00124326">
        <w:rPr>
          <w:i/>
          <w:color w:val="000000"/>
          <w:szCs w:val="24"/>
        </w:rPr>
        <w:t xml:space="preserve"> </w:t>
      </w:r>
      <w:r w:rsidRPr="00124326">
        <w:rPr>
          <w:i/>
          <w:color w:val="000000"/>
          <w:szCs w:val="24"/>
          <w:lang w:val="en-US"/>
        </w:rPr>
        <w:t>Office</w:t>
      </w:r>
      <w:r w:rsidRPr="00124326">
        <w:rPr>
          <w:i/>
          <w:color w:val="000000"/>
          <w:szCs w:val="24"/>
        </w:rPr>
        <w:t xml:space="preserve"> </w:t>
      </w:r>
      <w:r w:rsidRPr="00124326">
        <w:rPr>
          <w:i/>
          <w:color w:val="000000"/>
          <w:szCs w:val="24"/>
          <w:lang w:val="en-US"/>
        </w:rPr>
        <w:t>Word</w:t>
      </w:r>
      <w:r w:rsidRPr="00124326">
        <w:rPr>
          <w:i/>
          <w:color w:val="000000"/>
          <w:szCs w:val="24"/>
        </w:rPr>
        <w:t xml:space="preserve"> </w:t>
      </w:r>
      <w:r w:rsidRPr="00124326">
        <w:rPr>
          <w:color w:val="000000"/>
          <w:szCs w:val="24"/>
        </w:rPr>
        <w:t>2007 и выше. Аннотация, иллюстрации, рисунки и библиография включаются в общее число страниц. Нумерация страниц не производится.</w:t>
      </w:r>
    </w:p>
    <w:p w14:paraId="0679CFBA" w14:textId="77777777" w:rsidR="00115896" w:rsidRPr="00124326" w:rsidRDefault="00115896" w:rsidP="00583399">
      <w:pPr>
        <w:spacing w:after="120"/>
        <w:ind w:firstLine="567"/>
        <w:contextualSpacing/>
        <w:jc w:val="both"/>
        <w:rPr>
          <w:color w:val="000000"/>
          <w:szCs w:val="24"/>
        </w:rPr>
      </w:pPr>
      <w:r w:rsidRPr="00124326">
        <w:rPr>
          <w:color w:val="000000"/>
          <w:szCs w:val="24"/>
        </w:rPr>
        <w:t xml:space="preserve">Печатный вариант доклада предоставляется вместе с подписанным организацией экспертным заключением о возможности опубликования и рецензией на доклад. Номера страниц </w:t>
      </w:r>
      <w:r w:rsidRPr="00124326">
        <w:rPr>
          <w:color w:val="000000"/>
          <w:szCs w:val="24"/>
          <w:u w:val="single"/>
        </w:rPr>
        <w:t>обязательно</w:t>
      </w:r>
      <w:r w:rsidRPr="00124326">
        <w:rPr>
          <w:color w:val="000000"/>
          <w:szCs w:val="24"/>
        </w:rPr>
        <w:t xml:space="preserve"> проставляются на распечатанном докладе с обратной стороны листов. На обратной стороне последнего листа </w:t>
      </w:r>
      <w:r w:rsidRPr="00124326">
        <w:rPr>
          <w:color w:val="000000"/>
          <w:szCs w:val="24"/>
          <w:u w:val="single"/>
        </w:rPr>
        <w:t>обязательно</w:t>
      </w:r>
      <w:r w:rsidRPr="00124326">
        <w:rPr>
          <w:color w:val="000000"/>
          <w:szCs w:val="24"/>
        </w:rPr>
        <w:t xml:space="preserve"> ставится под</w:t>
      </w:r>
      <w:r>
        <w:rPr>
          <w:color w:val="000000"/>
          <w:szCs w:val="24"/>
        </w:rPr>
        <w:t xml:space="preserve">пись автора и </w:t>
      </w:r>
      <w:r w:rsidRPr="00124326">
        <w:rPr>
          <w:color w:val="000000"/>
          <w:szCs w:val="24"/>
        </w:rPr>
        <w:t>соавтор</w:t>
      </w:r>
      <w:r>
        <w:rPr>
          <w:color w:val="000000"/>
          <w:szCs w:val="24"/>
        </w:rPr>
        <w:t>а</w:t>
      </w:r>
      <w:r w:rsidRPr="00124326">
        <w:rPr>
          <w:color w:val="000000"/>
          <w:szCs w:val="24"/>
        </w:rPr>
        <w:t xml:space="preserve"> с расшифровкой фамилий.</w:t>
      </w:r>
    </w:p>
    <w:p w14:paraId="0A22D64F" w14:textId="77777777" w:rsidR="008137D9" w:rsidRPr="008137D9" w:rsidRDefault="008137D9" w:rsidP="00583399">
      <w:pPr>
        <w:widowControl/>
        <w:overflowPunct/>
        <w:autoSpaceDE/>
        <w:autoSpaceDN/>
        <w:adjustRightInd/>
        <w:ind w:right="-2" w:firstLine="567"/>
        <w:contextualSpacing/>
        <w:jc w:val="both"/>
        <w:textAlignment w:val="auto"/>
        <w:rPr>
          <w:rFonts w:eastAsia="Calibri"/>
          <w:b/>
          <w:szCs w:val="24"/>
        </w:rPr>
      </w:pPr>
      <w:r>
        <w:rPr>
          <w:color w:val="000000"/>
          <w:spacing w:val="-4"/>
          <w:szCs w:val="24"/>
        </w:rPr>
        <w:t>Ф</w:t>
      </w:r>
      <w:r w:rsidRPr="008137D9">
        <w:rPr>
          <w:rFonts w:eastAsia="Calibri"/>
          <w:spacing w:val="-2"/>
          <w:szCs w:val="24"/>
        </w:rPr>
        <w:t xml:space="preserve">ормат страницы – А4, поля – 2.0 см с трех сторон, слева – 2.5 см, абзацные отступы – </w:t>
      </w:r>
      <w:r w:rsidRPr="008137D9">
        <w:rPr>
          <w:rFonts w:eastAsia="Calibri"/>
          <w:szCs w:val="24"/>
        </w:rPr>
        <w:t>1.0 см.</w:t>
      </w:r>
    </w:p>
    <w:p w14:paraId="75844FF7" w14:textId="77777777" w:rsidR="008137D9" w:rsidRPr="008137D9" w:rsidRDefault="008137D9" w:rsidP="00583399">
      <w:pPr>
        <w:widowControl/>
        <w:overflowPunct/>
        <w:autoSpaceDE/>
        <w:autoSpaceDN/>
        <w:adjustRightInd/>
        <w:ind w:right="-2" w:firstLine="567"/>
        <w:contextualSpacing/>
        <w:jc w:val="both"/>
        <w:textAlignment w:val="auto"/>
        <w:rPr>
          <w:rFonts w:eastAsia="Calibri"/>
          <w:szCs w:val="24"/>
        </w:rPr>
      </w:pPr>
      <w:r w:rsidRPr="008137D9">
        <w:rPr>
          <w:rFonts w:eastAsia="Calibri"/>
          <w:szCs w:val="24"/>
        </w:rPr>
        <w:t xml:space="preserve">При наборе использовать стандартный шрифт </w:t>
      </w:r>
      <w:r w:rsidRPr="008137D9">
        <w:rPr>
          <w:rFonts w:eastAsia="Calibri"/>
          <w:szCs w:val="24"/>
          <w:lang w:val="en-US"/>
        </w:rPr>
        <w:t>Times</w:t>
      </w:r>
      <w:r w:rsidRPr="008137D9">
        <w:rPr>
          <w:rFonts w:eastAsia="Calibri"/>
          <w:szCs w:val="24"/>
        </w:rPr>
        <w:t xml:space="preserve"> </w:t>
      </w:r>
      <w:r w:rsidRPr="008137D9">
        <w:rPr>
          <w:rFonts w:eastAsia="Calibri"/>
          <w:szCs w:val="24"/>
          <w:lang w:val="en-US"/>
        </w:rPr>
        <w:t>New</w:t>
      </w:r>
      <w:r w:rsidRPr="008137D9">
        <w:rPr>
          <w:rFonts w:eastAsia="Calibri"/>
          <w:szCs w:val="24"/>
        </w:rPr>
        <w:t xml:space="preserve"> </w:t>
      </w:r>
      <w:r w:rsidRPr="008137D9">
        <w:rPr>
          <w:rFonts w:eastAsia="Calibri"/>
          <w:szCs w:val="24"/>
          <w:lang w:val="en-US"/>
        </w:rPr>
        <w:t>Roman</w:t>
      </w:r>
      <w:r w:rsidRPr="008137D9">
        <w:rPr>
          <w:rFonts w:eastAsia="Calibri"/>
          <w:szCs w:val="24"/>
        </w:rPr>
        <w:t xml:space="preserve">, </w:t>
      </w:r>
      <w:r w:rsidRPr="008137D9">
        <w:rPr>
          <w:rFonts w:eastAsia="Calibri"/>
          <w:b/>
          <w:szCs w:val="24"/>
        </w:rPr>
        <w:t>кегль 12</w:t>
      </w:r>
      <w:r w:rsidRPr="008137D9">
        <w:rPr>
          <w:rFonts w:eastAsia="Calibri"/>
          <w:szCs w:val="24"/>
        </w:rPr>
        <w:t xml:space="preserve">, в сносках, подписях к рисункам и таблицам, а также в списке литературы – </w:t>
      </w:r>
      <w:r w:rsidRPr="008137D9">
        <w:rPr>
          <w:rFonts w:eastAsia="Calibri"/>
          <w:b/>
          <w:szCs w:val="24"/>
        </w:rPr>
        <w:t>кегль 10.</w:t>
      </w:r>
      <w:r w:rsidRPr="008137D9">
        <w:rPr>
          <w:rFonts w:eastAsia="Calibri"/>
          <w:szCs w:val="24"/>
        </w:rPr>
        <w:t xml:space="preserve"> </w:t>
      </w:r>
    </w:p>
    <w:p w14:paraId="6FFCAA91" w14:textId="77777777" w:rsidR="008137D9" w:rsidRPr="008137D9" w:rsidRDefault="008137D9" w:rsidP="00583399">
      <w:pPr>
        <w:widowControl/>
        <w:overflowPunct/>
        <w:autoSpaceDE/>
        <w:autoSpaceDN/>
        <w:adjustRightInd/>
        <w:ind w:right="-2" w:firstLine="567"/>
        <w:contextualSpacing/>
        <w:jc w:val="both"/>
        <w:textAlignment w:val="auto"/>
        <w:rPr>
          <w:rFonts w:eastAsia="Calibri"/>
          <w:szCs w:val="24"/>
        </w:rPr>
      </w:pPr>
      <w:r w:rsidRPr="008137D9">
        <w:rPr>
          <w:rFonts w:eastAsia="Calibri"/>
          <w:szCs w:val="24"/>
        </w:rPr>
        <w:t>Интервал между строк – одинарный.</w:t>
      </w:r>
    </w:p>
    <w:p w14:paraId="4B2875FC" w14:textId="77777777" w:rsidR="008137D9" w:rsidRPr="008137D9" w:rsidRDefault="008137D9" w:rsidP="00583399">
      <w:pPr>
        <w:widowControl/>
        <w:overflowPunct/>
        <w:autoSpaceDE/>
        <w:autoSpaceDN/>
        <w:adjustRightInd/>
        <w:ind w:right="-2" w:firstLine="567"/>
        <w:contextualSpacing/>
        <w:jc w:val="both"/>
        <w:textAlignment w:val="auto"/>
        <w:rPr>
          <w:rFonts w:eastAsia="Calibri"/>
          <w:szCs w:val="24"/>
        </w:rPr>
      </w:pPr>
      <w:r w:rsidRPr="008137D9">
        <w:rPr>
          <w:rFonts w:eastAsia="Calibri"/>
          <w:szCs w:val="24"/>
        </w:rPr>
        <w:t xml:space="preserve">Формулы и символы в тексте набирать с использованием встроенной в </w:t>
      </w:r>
      <w:r w:rsidRPr="008137D9">
        <w:rPr>
          <w:rFonts w:eastAsia="Calibri"/>
          <w:szCs w:val="24"/>
          <w:lang w:val="en-US"/>
        </w:rPr>
        <w:t>Word</w:t>
      </w:r>
      <w:r w:rsidRPr="008137D9">
        <w:rPr>
          <w:rFonts w:eastAsia="Calibri"/>
          <w:szCs w:val="24"/>
        </w:rPr>
        <w:t xml:space="preserve"> поддержки создания и редактирования формул или в </w:t>
      </w:r>
      <w:r w:rsidRPr="008137D9">
        <w:rPr>
          <w:rFonts w:eastAsia="Calibri"/>
          <w:szCs w:val="24"/>
          <w:u w:val="single"/>
        </w:rPr>
        <w:t xml:space="preserve">редакторе формул </w:t>
      </w:r>
      <w:r w:rsidRPr="008137D9">
        <w:rPr>
          <w:rFonts w:eastAsia="Calibri"/>
          <w:b/>
          <w:szCs w:val="24"/>
          <w:u w:val="single"/>
          <w:lang w:val="en-US"/>
        </w:rPr>
        <w:t>Math</w:t>
      </w:r>
      <w:r w:rsidRPr="008137D9">
        <w:rPr>
          <w:rFonts w:eastAsia="Calibri"/>
          <w:b/>
          <w:szCs w:val="24"/>
          <w:u w:val="single"/>
        </w:rPr>
        <w:t xml:space="preserve"> </w:t>
      </w:r>
      <w:r w:rsidRPr="008137D9">
        <w:rPr>
          <w:rFonts w:eastAsia="Calibri"/>
          <w:b/>
          <w:szCs w:val="24"/>
          <w:u w:val="single"/>
          <w:lang w:val="en-US"/>
        </w:rPr>
        <w:t>Type</w:t>
      </w:r>
      <w:r w:rsidRPr="008137D9">
        <w:rPr>
          <w:rFonts w:eastAsia="Calibri"/>
          <w:szCs w:val="24"/>
        </w:rPr>
        <w:t xml:space="preserve">, определив следующие размеры элементов (редактор формул – размер – определить): обычный − 12 </w:t>
      </w:r>
      <w:r w:rsidRPr="008137D9">
        <w:rPr>
          <w:rFonts w:eastAsia="Calibri"/>
          <w:szCs w:val="24"/>
          <w:lang w:val="en-US"/>
        </w:rPr>
        <w:t>pt</w:t>
      </w:r>
      <w:r w:rsidRPr="008137D9">
        <w:rPr>
          <w:rFonts w:eastAsia="Calibri"/>
          <w:szCs w:val="24"/>
        </w:rPr>
        <w:t xml:space="preserve">, крупный индекс – 8 </w:t>
      </w:r>
      <w:r w:rsidRPr="008137D9">
        <w:rPr>
          <w:rFonts w:eastAsia="Calibri"/>
          <w:szCs w:val="24"/>
          <w:lang w:val="en-US"/>
        </w:rPr>
        <w:t>pt</w:t>
      </w:r>
      <w:r w:rsidRPr="008137D9">
        <w:rPr>
          <w:rFonts w:eastAsia="Calibri"/>
          <w:szCs w:val="24"/>
        </w:rPr>
        <w:t xml:space="preserve">, мелкий индекс – 6 </w:t>
      </w:r>
      <w:r w:rsidRPr="008137D9">
        <w:rPr>
          <w:rFonts w:eastAsia="Calibri"/>
          <w:szCs w:val="24"/>
          <w:lang w:val="en-US"/>
        </w:rPr>
        <w:t>pt</w:t>
      </w:r>
      <w:r w:rsidRPr="008137D9">
        <w:rPr>
          <w:rFonts w:eastAsia="Calibri"/>
          <w:szCs w:val="24"/>
        </w:rPr>
        <w:t xml:space="preserve">, крупный символ – 16 </w:t>
      </w:r>
      <w:r w:rsidRPr="008137D9">
        <w:rPr>
          <w:rFonts w:eastAsia="Calibri"/>
          <w:szCs w:val="24"/>
          <w:lang w:val="en-US"/>
        </w:rPr>
        <w:t>pt</w:t>
      </w:r>
      <w:r w:rsidRPr="008137D9">
        <w:rPr>
          <w:rFonts w:eastAsia="Calibri"/>
          <w:szCs w:val="24"/>
        </w:rPr>
        <w:t xml:space="preserve">, мелкий символ – 10 </w:t>
      </w:r>
      <w:r w:rsidRPr="008137D9">
        <w:rPr>
          <w:rFonts w:eastAsia="Calibri"/>
          <w:szCs w:val="24"/>
          <w:lang w:val="en-US"/>
        </w:rPr>
        <w:t>pt</w:t>
      </w:r>
      <w:r w:rsidRPr="008137D9">
        <w:rPr>
          <w:rFonts w:eastAsia="Calibri"/>
          <w:szCs w:val="24"/>
        </w:rPr>
        <w:t>.</w:t>
      </w:r>
    </w:p>
    <w:p w14:paraId="6A432161" w14:textId="77777777" w:rsidR="00583399" w:rsidRDefault="008137D9" w:rsidP="00583399">
      <w:pPr>
        <w:widowControl/>
        <w:overflowPunct/>
        <w:autoSpaceDE/>
        <w:autoSpaceDN/>
        <w:adjustRightInd/>
        <w:ind w:right="-2" w:firstLine="567"/>
        <w:contextualSpacing/>
        <w:jc w:val="both"/>
        <w:textAlignment w:val="auto"/>
        <w:rPr>
          <w:rFonts w:eastAsia="Calibri"/>
          <w:szCs w:val="24"/>
        </w:rPr>
      </w:pPr>
      <w:r w:rsidRPr="008137D9">
        <w:rPr>
          <w:rFonts w:eastAsia="Calibri"/>
          <w:szCs w:val="24"/>
        </w:rPr>
        <w:t xml:space="preserve">Написание русских и греческих букв, математических операций и функций − </w:t>
      </w:r>
      <w:r w:rsidRPr="008137D9">
        <w:rPr>
          <w:rFonts w:eastAsia="Calibri"/>
          <w:b/>
          <w:szCs w:val="24"/>
        </w:rPr>
        <w:t>прямое,</w:t>
      </w:r>
      <w:r w:rsidRPr="008137D9">
        <w:rPr>
          <w:rFonts w:eastAsia="Calibri"/>
          <w:szCs w:val="24"/>
        </w:rPr>
        <w:t xml:space="preserve"> написание латинских букв – </w:t>
      </w:r>
      <w:r w:rsidRPr="008137D9">
        <w:rPr>
          <w:rFonts w:eastAsia="Calibri"/>
          <w:b/>
          <w:i/>
          <w:szCs w:val="24"/>
        </w:rPr>
        <w:t xml:space="preserve">курсивное. </w:t>
      </w:r>
      <w:r w:rsidRPr="008137D9">
        <w:rPr>
          <w:rFonts w:eastAsia="Calibri"/>
          <w:szCs w:val="24"/>
        </w:rPr>
        <w:t xml:space="preserve">Рекомендуется сквозная нумерация формул, которая ставится по правому краю листа в круглых скобках. Формулы не нумеруются, если на них отсутствуют ссылки в тексте. </w:t>
      </w:r>
    </w:p>
    <w:p w14:paraId="2C648877" w14:textId="77777777" w:rsidR="008137D9" w:rsidRPr="008137D9" w:rsidRDefault="008137D9" w:rsidP="00583399">
      <w:pPr>
        <w:widowControl/>
        <w:overflowPunct/>
        <w:autoSpaceDE/>
        <w:autoSpaceDN/>
        <w:adjustRightInd/>
        <w:ind w:right="-2" w:firstLine="567"/>
        <w:contextualSpacing/>
        <w:jc w:val="both"/>
        <w:textAlignment w:val="auto"/>
        <w:rPr>
          <w:rFonts w:eastAsia="Calibri"/>
          <w:szCs w:val="24"/>
        </w:rPr>
      </w:pPr>
      <w:r w:rsidRPr="008137D9">
        <w:rPr>
          <w:rFonts w:eastAsia="Calibri"/>
          <w:szCs w:val="24"/>
        </w:rPr>
        <w:t xml:space="preserve">Таблицы и рисунки </w:t>
      </w:r>
      <w:r w:rsidRPr="008137D9">
        <w:rPr>
          <w:rFonts w:eastAsia="Calibri"/>
          <w:spacing w:val="-4"/>
          <w:szCs w:val="24"/>
        </w:rPr>
        <w:t xml:space="preserve">должны помещаться в тексте по мере упоминания. Нумерация таблиц и рисунков сквозная. Надписи и оцифровка </w:t>
      </w:r>
      <w:r w:rsidRPr="008137D9">
        <w:rPr>
          <w:rFonts w:eastAsia="Calibri"/>
          <w:b/>
          <w:spacing w:val="-4"/>
          <w:szCs w:val="24"/>
        </w:rPr>
        <w:t>на поле рисунка –</w:t>
      </w:r>
      <w:r w:rsidRPr="008137D9">
        <w:rPr>
          <w:rFonts w:eastAsia="Calibri"/>
          <w:b/>
          <w:szCs w:val="24"/>
        </w:rPr>
        <w:t xml:space="preserve"> не мельче 8-го кегля</w:t>
      </w:r>
      <w:r w:rsidRPr="008137D9">
        <w:rPr>
          <w:rFonts w:eastAsia="Calibri"/>
          <w:szCs w:val="24"/>
        </w:rPr>
        <w:t>.</w:t>
      </w:r>
    </w:p>
    <w:p w14:paraId="27D40B3C" w14:textId="77777777" w:rsidR="008137D9" w:rsidRPr="008137D9" w:rsidRDefault="008137D9" w:rsidP="00583399">
      <w:pPr>
        <w:widowControl/>
        <w:overflowPunct/>
        <w:autoSpaceDE/>
        <w:autoSpaceDN/>
        <w:adjustRightInd/>
        <w:ind w:right="-2" w:firstLine="567"/>
        <w:contextualSpacing/>
        <w:jc w:val="both"/>
        <w:textAlignment w:val="auto"/>
        <w:rPr>
          <w:rFonts w:eastAsia="Calibri"/>
          <w:szCs w:val="24"/>
        </w:rPr>
      </w:pPr>
      <w:r w:rsidRPr="008137D9">
        <w:rPr>
          <w:rFonts w:eastAsia="Calibri"/>
          <w:szCs w:val="24"/>
        </w:rPr>
        <w:t xml:space="preserve">Шапка статьи должна быть оформлена по образцу. </w:t>
      </w:r>
    </w:p>
    <w:p w14:paraId="0CBFB3A6" w14:textId="77777777" w:rsidR="00115896" w:rsidRPr="00583399" w:rsidRDefault="008137D9" w:rsidP="00583399">
      <w:pPr>
        <w:widowControl/>
        <w:overflowPunct/>
        <w:autoSpaceDE/>
        <w:autoSpaceDN/>
        <w:adjustRightInd/>
        <w:ind w:firstLine="567"/>
        <w:contextualSpacing/>
        <w:jc w:val="both"/>
        <w:textAlignment w:val="auto"/>
        <w:rPr>
          <w:rFonts w:eastAsia="Calibri"/>
          <w:szCs w:val="28"/>
          <w:lang w:eastAsia="en-US"/>
        </w:rPr>
      </w:pPr>
      <w:r w:rsidRPr="008137D9">
        <w:rPr>
          <w:rFonts w:eastAsia="Calibri"/>
          <w:szCs w:val="24"/>
        </w:rPr>
        <w:t xml:space="preserve">После названия статьи помещаются аннотация </w:t>
      </w:r>
      <w:r w:rsidR="00583399">
        <w:rPr>
          <w:rFonts w:eastAsia="Calibri"/>
          <w:szCs w:val="24"/>
        </w:rPr>
        <w:t xml:space="preserve">– </w:t>
      </w:r>
      <w:r>
        <w:rPr>
          <w:color w:val="000000"/>
          <w:szCs w:val="24"/>
        </w:rPr>
        <w:t>не более 3</w:t>
      </w:r>
      <w:r w:rsidRPr="008137D9">
        <w:rPr>
          <w:color w:val="000000"/>
          <w:szCs w:val="24"/>
        </w:rPr>
        <w:t xml:space="preserve"> предложений (10 строк)</w:t>
      </w:r>
      <w:r w:rsidRPr="008137D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и ключевые слова</w:t>
      </w:r>
      <w:r w:rsidRPr="008137D9">
        <w:rPr>
          <w:rFonts w:eastAsia="Calibri"/>
          <w:szCs w:val="24"/>
        </w:rPr>
        <w:t xml:space="preserve"> </w:t>
      </w:r>
      <w:r w:rsidRPr="008137D9">
        <w:rPr>
          <w:rFonts w:eastAsia="Calibri"/>
          <w:b/>
          <w:szCs w:val="24"/>
        </w:rPr>
        <w:t>на русском и английском языках</w:t>
      </w:r>
      <w:r w:rsidRPr="008137D9">
        <w:rPr>
          <w:rFonts w:eastAsia="Calibri"/>
          <w:szCs w:val="24"/>
        </w:rPr>
        <w:t>.</w:t>
      </w:r>
      <w:r w:rsidRPr="008137D9">
        <w:rPr>
          <w:rFonts w:eastAsia="Calibri"/>
          <w:sz w:val="28"/>
          <w:szCs w:val="28"/>
          <w:lang w:eastAsia="en-US"/>
        </w:rPr>
        <w:t xml:space="preserve"> </w:t>
      </w:r>
    </w:p>
    <w:p w14:paraId="315B9948" w14:textId="77777777" w:rsidR="00EF27E0" w:rsidRPr="00EF27E0" w:rsidRDefault="00EF27E0" w:rsidP="00583399">
      <w:pPr>
        <w:shd w:val="clear" w:color="auto" w:fill="FFFFFF"/>
        <w:ind w:firstLine="567"/>
        <w:contextualSpacing/>
        <w:jc w:val="both"/>
        <w:rPr>
          <w:color w:val="000000"/>
          <w:szCs w:val="24"/>
        </w:rPr>
      </w:pPr>
      <w:r w:rsidRPr="00EF27E0">
        <w:rPr>
          <w:color w:val="000000"/>
          <w:szCs w:val="24"/>
        </w:rPr>
        <w:t xml:space="preserve">В списке литературы </w:t>
      </w:r>
      <w:r w:rsidRPr="00EF27E0">
        <w:rPr>
          <w:b/>
          <w:color w:val="000000"/>
          <w:szCs w:val="24"/>
        </w:rPr>
        <w:t>нумерация источников</w:t>
      </w:r>
      <w:r w:rsidRPr="00EF27E0">
        <w:rPr>
          <w:color w:val="000000"/>
          <w:szCs w:val="24"/>
        </w:rPr>
        <w:t xml:space="preserve"> должна соответствовать </w:t>
      </w:r>
      <w:r w:rsidRPr="00EF27E0">
        <w:rPr>
          <w:b/>
          <w:color w:val="000000"/>
          <w:szCs w:val="24"/>
        </w:rPr>
        <w:t>очередности ссылок</w:t>
      </w:r>
      <w:r w:rsidRPr="00EF27E0">
        <w:rPr>
          <w:color w:val="000000"/>
          <w:szCs w:val="24"/>
        </w:rPr>
        <w:t xml:space="preserve"> на них в тексте ([1], [2], …), </w:t>
      </w:r>
      <w:r w:rsidRPr="00EF27E0">
        <w:rPr>
          <w:szCs w:val="24"/>
        </w:rPr>
        <w:t>при необходимости указать конкретные страницы в источнике в тексте пишут: [2, с. 5–8; 3; 4, с. 5].</w:t>
      </w:r>
    </w:p>
    <w:p w14:paraId="22143EEB" w14:textId="77777777" w:rsidR="00EF27E0" w:rsidRPr="00EF27E0" w:rsidRDefault="00EF27E0" w:rsidP="00583399">
      <w:pPr>
        <w:shd w:val="clear" w:color="auto" w:fill="FFFFFF"/>
        <w:overflowPunct/>
        <w:ind w:firstLine="567"/>
        <w:contextualSpacing/>
        <w:jc w:val="both"/>
        <w:textAlignment w:val="auto"/>
        <w:rPr>
          <w:color w:val="000000"/>
          <w:szCs w:val="24"/>
        </w:rPr>
      </w:pPr>
      <w:r w:rsidRPr="00EF27E0">
        <w:rPr>
          <w:color w:val="000000"/>
          <w:szCs w:val="24"/>
        </w:rPr>
        <w:t xml:space="preserve">В списке литературы каждый источник указывается </w:t>
      </w:r>
      <w:r w:rsidRPr="00EF27E0">
        <w:rPr>
          <w:b/>
          <w:color w:val="000000"/>
          <w:szCs w:val="24"/>
        </w:rPr>
        <w:t>только один раз</w:t>
      </w:r>
      <w:r w:rsidRPr="00EF27E0">
        <w:rPr>
          <w:color w:val="000000"/>
          <w:szCs w:val="24"/>
        </w:rPr>
        <w:t xml:space="preserve">, под одной цифрой может быть </w:t>
      </w:r>
      <w:r w:rsidRPr="00EF27E0">
        <w:rPr>
          <w:b/>
          <w:color w:val="000000"/>
          <w:szCs w:val="24"/>
        </w:rPr>
        <w:t>только один источник</w:t>
      </w:r>
      <w:r w:rsidRPr="00EF27E0">
        <w:rPr>
          <w:color w:val="000000"/>
          <w:szCs w:val="24"/>
        </w:rPr>
        <w:t xml:space="preserve">. </w:t>
      </w:r>
    </w:p>
    <w:p w14:paraId="7DBE7617" w14:textId="77777777" w:rsidR="00EF27E0" w:rsidRPr="00EF27E0" w:rsidRDefault="00EF27E0" w:rsidP="00583399">
      <w:pPr>
        <w:widowControl/>
        <w:overflowPunct/>
        <w:autoSpaceDE/>
        <w:autoSpaceDN/>
        <w:adjustRightInd/>
        <w:ind w:firstLine="567"/>
        <w:contextualSpacing/>
        <w:jc w:val="both"/>
        <w:textAlignment w:val="auto"/>
        <w:rPr>
          <w:color w:val="000000"/>
          <w:szCs w:val="24"/>
        </w:rPr>
      </w:pPr>
      <w:r w:rsidRPr="00EF27E0">
        <w:rPr>
          <w:color w:val="000000"/>
          <w:szCs w:val="24"/>
        </w:rPr>
        <w:t xml:space="preserve">Список литературы оформляется в соответствии с ГОСТ Р 7.0.5–2008. Библиографическая ссылка. </w:t>
      </w:r>
    </w:p>
    <w:p w14:paraId="0EC53D74" w14:textId="77777777" w:rsidR="00115896" w:rsidRPr="00124326" w:rsidRDefault="00115896" w:rsidP="00583399">
      <w:pPr>
        <w:spacing w:after="120"/>
        <w:ind w:firstLine="567"/>
        <w:contextualSpacing/>
        <w:jc w:val="both"/>
        <w:rPr>
          <w:color w:val="000000"/>
          <w:szCs w:val="24"/>
        </w:rPr>
      </w:pPr>
      <w:r w:rsidRPr="00124326">
        <w:rPr>
          <w:szCs w:val="24"/>
        </w:rPr>
        <w:t>Доклад</w:t>
      </w:r>
      <w:r w:rsidRPr="00124326">
        <w:rPr>
          <w:color w:val="000000"/>
          <w:szCs w:val="24"/>
        </w:rPr>
        <w:t xml:space="preserve"> должен строиться по определенной структуре, основными элементами которой являются: 1. Введение, 2. Основная часть, 3. Заключение.</w:t>
      </w:r>
    </w:p>
    <w:p w14:paraId="3FD35099" w14:textId="77777777" w:rsidR="00115896" w:rsidRPr="00124326" w:rsidRDefault="00115896" w:rsidP="00583399">
      <w:pPr>
        <w:spacing w:after="120"/>
        <w:ind w:firstLine="567"/>
        <w:contextualSpacing/>
        <w:jc w:val="both"/>
        <w:rPr>
          <w:color w:val="000000"/>
          <w:szCs w:val="24"/>
        </w:rPr>
      </w:pPr>
      <w:r w:rsidRPr="00124326">
        <w:rPr>
          <w:i/>
          <w:iCs/>
          <w:color w:val="000000"/>
          <w:szCs w:val="24"/>
        </w:rPr>
        <w:t>Во</w:t>
      </w:r>
      <w:r w:rsidRPr="00124326">
        <w:rPr>
          <w:b/>
          <w:i/>
          <w:iCs/>
          <w:color w:val="000000"/>
          <w:szCs w:val="24"/>
        </w:rPr>
        <w:t xml:space="preserve"> введени</w:t>
      </w:r>
      <w:r>
        <w:rPr>
          <w:b/>
          <w:i/>
          <w:iCs/>
          <w:color w:val="000000"/>
          <w:szCs w:val="24"/>
        </w:rPr>
        <w:t>и</w:t>
      </w:r>
      <w:r w:rsidRPr="00124326">
        <w:rPr>
          <w:color w:val="000000"/>
          <w:szCs w:val="24"/>
        </w:rPr>
        <w:t xml:space="preserve"> обосновываются в краткой форме актуальность выбранной темы, цель и содержание поставленных задач, формулируются объект и предмет исследования, указывается избранный метод (или методы) исследования, сообщается, в чем заключается значимость и прикладная ценность полученных результатов.</w:t>
      </w:r>
    </w:p>
    <w:p w14:paraId="28C7E609" w14:textId="77777777" w:rsidR="00115896" w:rsidRPr="00124326" w:rsidRDefault="00115896" w:rsidP="00583399">
      <w:pPr>
        <w:spacing w:after="120"/>
        <w:ind w:firstLine="567"/>
        <w:contextualSpacing/>
        <w:jc w:val="both"/>
        <w:rPr>
          <w:szCs w:val="24"/>
        </w:rPr>
      </w:pPr>
      <w:r w:rsidRPr="00124326">
        <w:rPr>
          <w:szCs w:val="24"/>
        </w:rPr>
        <w:t xml:space="preserve">В </w:t>
      </w:r>
      <w:r w:rsidRPr="00124326">
        <w:rPr>
          <w:b/>
          <w:i/>
          <w:iCs/>
          <w:szCs w:val="24"/>
        </w:rPr>
        <w:t>основной части</w:t>
      </w:r>
      <w:r w:rsidRPr="00124326">
        <w:rPr>
          <w:rFonts w:ascii="Times New Roman,Italic" w:hAnsi="Times New Roman,Italic" w:cs="Times New Roman,Italic"/>
          <w:i/>
          <w:iCs/>
          <w:szCs w:val="24"/>
        </w:rPr>
        <w:t xml:space="preserve"> </w:t>
      </w:r>
      <w:r w:rsidRPr="00124326">
        <w:rPr>
          <w:szCs w:val="24"/>
        </w:rPr>
        <w:t>доклада подробно рассматриваются методика и техника исследования и обобщаются результаты. Содержание основной части должно соответствовать теме доклада и полностью ее раскрывать. Оно должно показать умение докладчика сжато, логично и аргументировано излагать материал.</w:t>
      </w:r>
    </w:p>
    <w:p w14:paraId="17D0A2B1" w14:textId="77777777" w:rsidR="00115896" w:rsidRPr="00124326" w:rsidRDefault="00115896" w:rsidP="00583399">
      <w:pPr>
        <w:spacing w:after="120"/>
        <w:ind w:firstLine="567"/>
        <w:contextualSpacing/>
        <w:jc w:val="both"/>
        <w:rPr>
          <w:szCs w:val="24"/>
        </w:rPr>
      </w:pPr>
      <w:r w:rsidRPr="00124326">
        <w:rPr>
          <w:i/>
          <w:iCs/>
          <w:szCs w:val="24"/>
        </w:rPr>
        <w:t xml:space="preserve">В </w:t>
      </w:r>
      <w:r w:rsidRPr="00124326">
        <w:rPr>
          <w:b/>
          <w:i/>
          <w:iCs/>
          <w:szCs w:val="24"/>
        </w:rPr>
        <w:t>заключени</w:t>
      </w:r>
      <w:r>
        <w:rPr>
          <w:b/>
          <w:i/>
          <w:iCs/>
          <w:szCs w:val="24"/>
        </w:rPr>
        <w:t>и</w:t>
      </w:r>
      <w:r w:rsidRPr="00124326">
        <w:rPr>
          <w:szCs w:val="24"/>
        </w:rPr>
        <w:t xml:space="preserve"> предполагается показать наличие итоговой оценки проделанной работы. При этом важно указать, в чем заключается ее главный смысл, какие важные прямые и косвенные научно-практические результаты получены, как их можно применить в выполняющихся и перспективных работах.</w:t>
      </w:r>
    </w:p>
    <w:p w14:paraId="39FE155A" w14:textId="77777777" w:rsidR="00115896" w:rsidRPr="00CC6EA9" w:rsidRDefault="00115896" w:rsidP="00583399">
      <w:pPr>
        <w:spacing w:after="120"/>
        <w:ind w:firstLine="567"/>
        <w:contextualSpacing/>
        <w:jc w:val="both"/>
        <w:rPr>
          <w:b/>
          <w:i/>
          <w:szCs w:val="24"/>
        </w:rPr>
      </w:pPr>
      <w:r w:rsidRPr="00CC6EA9">
        <w:rPr>
          <w:b/>
          <w:i/>
          <w:szCs w:val="24"/>
        </w:rPr>
        <w:t>Далее следует пример доклада, оформленн</w:t>
      </w:r>
      <w:r w:rsidR="00296CB5">
        <w:rPr>
          <w:b/>
          <w:i/>
          <w:szCs w:val="24"/>
        </w:rPr>
        <w:t>ого</w:t>
      </w:r>
      <w:r w:rsidRPr="00CC6EA9">
        <w:rPr>
          <w:b/>
          <w:i/>
          <w:szCs w:val="24"/>
        </w:rPr>
        <w:t xml:space="preserve"> в соответствии с требованиями.</w:t>
      </w:r>
    </w:p>
    <w:p w14:paraId="6385E83F" w14:textId="77777777" w:rsidR="00471158" w:rsidRPr="00A83C18" w:rsidRDefault="00115896" w:rsidP="00115896">
      <w:pPr>
        <w:spacing w:after="120"/>
        <w:ind w:firstLine="567"/>
        <w:contextualSpacing/>
        <w:jc w:val="both"/>
        <w:rPr>
          <w:szCs w:val="24"/>
        </w:rPr>
      </w:pPr>
      <w:r w:rsidRPr="00124326">
        <w:rPr>
          <w:i/>
          <w:szCs w:val="24"/>
        </w:rPr>
        <w:t xml:space="preserve">По вопросам оформления, </w:t>
      </w:r>
      <w:r w:rsidRPr="001E17B6">
        <w:rPr>
          <w:i/>
          <w:szCs w:val="24"/>
        </w:rPr>
        <w:t>оставшимся неясными после ознакомления с данным Приложением, следует обращаться непосредственно в Оргкомитет конференции по телефонам</w:t>
      </w:r>
      <w:r>
        <w:rPr>
          <w:i/>
          <w:szCs w:val="24"/>
        </w:rPr>
        <w:t>:</w:t>
      </w:r>
      <w:r w:rsidR="00C244E8" w:rsidRPr="001E17B6">
        <w:rPr>
          <w:i/>
          <w:szCs w:val="24"/>
        </w:rPr>
        <w:t xml:space="preserve"> </w:t>
      </w:r>
      <w:r w:rsidRPr="001E17B6">
        <w:rPr>
          <w:i/>
          <w:szCs w:val="24"/>
        </w:rPr>
        <w:t>(812)</w:t>
      </w:r>
      <w:r>
        <w:rPr>
          <w:i/>
          <w:szCs w:val="24"/>
        </w:rPr>
        <w:t> </w:t>
      </w:r>
      <w:r w:rsidRPr="001E17B6">
        <w:rPr>
          <w:i/>
          <w:szCs w:val="24"/>
        </w:rPr>
        <w:t>499-7</w:t>
      </w:r>
      <w:r w:rsidR="00471158">
        <w:rPr>
          <w:i/>
          <w:szCs w:val="24"/>
        </w:rPr>
        <w:t>5</w:t>
      </w:r>
      <w:r w:rsidRPr="001E17B6">
        <w:rPr>
          <w:i/>
          <w:szCs w:val="24"/>
        </w:rPr>
        <w:t>-</w:t>
      </w:r>
      <w:r w:rsidR="00471158">
        <w:rPr>
          <w:i/>
          <w:szCs w:val="24"/>
        </w:rPr>
        <w:t>28</w:t>
      </w:r>
      <w:r w:rsidRPr="001E17B6">
        <w:rPr>
          <w:i/>
          <w:szCs w:val="24"/>
        </w:rPr>
        <w:t xml:space="preserve">, – </w:t>
      </w:r>
      <w:r w:rsidR="001069CA">
        <w:rPr>
          <w:i/>
          <w:szCs w:val="24"/>
        </w:rPr>
        <w:t>Бочарова</w:t>
      </w:r>
      <w:r w:rsidRPr="001E17B6">
        <w:rPr>
          <w:i/>
          <w:szCs w:val="24"/>
        </w:rPr>
        <w:t xml:space="preserve"> Да</w:t>
      </w:r>
      <w:r>
        <w:rPr>
          <w:i/>
          <w:szCs w:val="24"/>
        </w:rPr>
        <w:t>рья</w:t>
      </w:r>
      <w:r w:rsidRPr="009A3C1E">
        <w:rPr>
          <w:i/>
          <w:szCs w:val="24"/>
        </w:rPr>
        <w:t>;</w:t>
      </w:r>
      <w:r w:rsidR="00583399" w:rsidRPr="009A3C1E">
        <w:rPr>
          <w:i/>
          <w:szCs w:val="24"/>
        </w:rPr>
        <w:t xml:space="preserve"> </w:t>
      </w:r>
      <w:r w:rsidRPr="009A3C1E">
        <w:rPr>
          <w:i/>
          <w:szCs w:val="24"/>
        </w:rPr>
        <w:t>(</w:t>
      </w:r>
      <w:r w:rsidR="00471158" w:rsidRPr="009A3C1E">
        <w:rPr>
          <w:i/>
          <w:szCs w:val="24"/>
        </w:rPr>
        <w:t>812</w:t>
      </w:r>
      <w:r w:rsidRPr="009A3C1E">
        <w:rPr>
          <w:i/>
          <w:szCs w:val="24"/>
        </w:rPr>
        <w:t>) </w:t>
      </w:r>
      <w:r w:rsidR="00471158" w:rsidRPr="009A3C1E">
        <w:rPr>
          <w:i/>
          <w:szCs w:val="24"/>
        </w:rPr>
        <w:t>499-7</w:t>
      </w:r>
      <w:r w:rsidR="007F277A" w:rsidRPr="009A3C1E">
        <w:rPr>
          <w:i/>
          <w:szCs w:val="24"/>
        </w:rPr>
        <w:t>4</w:t>
      </w:r>
      <w:r w:rsidR="00471158" w:rsidRPr="009A3C1E">
        <w:rPr>
          <w:i/>
          <w:szCs w:val="24"/>
        </w:rPr>
        <w:t>-</w:t>
      </w:r>
      <w:r w:rsidR="00AF635D" w:rsidRPr="009A3C1E">
        <w:rPr>
          <w:i/>
          <w:szCs w:val="24"/>
        </w:rPr>
        <w:t>00, доб.</w:t>
      </w:r>
      <w:r w:rsidR="007F277A" w:rsidRPr="009A3C1E">
        <w:rPr>
          <w:i/>
          <w:szCs w:val="24"/>
        </w:rPr>
        <w:t xml:space="preserve"> </w:t>
      </w:r>
      <w:r w:rsidR="007F277A">
        <w:rPr>
          <w:i/>
          <w:szCs w:val="24"/>
        </w:rPr>
        <w:t>30-89</w:t>
      </w:r>
      <w:r w:rsidRPr="00471158">
        <w:rPr>
          <w:i/>
          <w:szCs w:val="24"/>
        </w:rPr>
        <w:t xml:space="preserve"> – </w:t>
      </w:r>
      <w:r w:rsidR="00DB2213">
        <w:rPr>
          <w:i/>
          <w:szCs w:val="24"/>
        </w:rPr>
        <w:t>Федосова Анастасия</w:t>
      </w:r>
      <w:r w:rsidR="000C08DA">
        <w:rPr>
          <w:i/>
          <w:szCs w:val="24"/>
        </w:rPr>
        <w:t>.</w:t>
      </w:r>
      <w:r w:rsidR="00C244E8" w:rsidRPr="00A83C18">
        <w:rPr>
          <w:szCs w:val="24"/>
        </w:rPr>
        <w:t xml:space="preserve"> </w:t>
      </w:r>
      <w:r w:rsidRPr="00A83C18">
        <w:rPr>
          <w:szCs w:val="24"/>
        </w:rPr>
        <w:t xml:space="preserve">Вопросы можно также отправлять по электронной почте: </w:t>
      </w:r>
      <w:hyperlink r:id="rId6" w:history="1">
        <w:r w:rsidR="00471158" w:rsidRPr="00B01471">
          <w:rPr>
            <w:rStyle w:val="a7"/>
            <w:color w:val="auto"/>
            <w:sz w:val="22"/>
            <w:szCs w:val="22"/>
            <w:u w:val="none"/>
            <w:lang w:val="en-US"/>
          </w:rPr>
          <w:t>Konf</w:t>
        </w:r>
        <w:r w:rsidR="00471158" w:rsidRPr="00B01471">
          <w:rPr>
            <w:rStyle w:val="a7"/>
            <w:color w:val="auto"/>
            <w:sz w:val="22"/>
            <w:szCs w:val="22"/>
            <w:u w:val="none"/>
          </w:rPr>
          <w:t>_</w:t>
        </w:r>
        <w:r w:rsidR="00471158" w:rsidRPr="00B01471">
          <w:rPr>
            <w:rStyle w:val="a7"/>
            <w:color w:val="auto"/>
            <w:sz w:val="22"/>
            <w:szCs w:val="22"/>
            <w:u w:val="none"/>
            <w:lang w:val="en-US"/>
          </w:rPr>
          <w:t>mag</w:t>
        </w:r>
        <w:r w:rsidR="00471158" w:rsidRPr="00B01471">
          <w:rPr>
            <w:rStyle w:val="a7"/>
            <w:color w:val="auto"/>
            <w:sz w:val="22"/>
            <w:szCs w:val="22"/>
            <w:u w:val="none"/>
          </w:rPr>
          <w:t>_2017@</w:t>
        </w:r>
        <w:r w:rsidR="00471158" w:rsidRPr="00B01471">
          <w:rPr>
            <w:rStyle w:val="a7"/>
            <w:color w:val="auto"/>
            <w:sz w:val="22"/>
            <w:szCs w:val="22"/>
            <w:u w:val="none"/>
            <w:lang w:val="en-US"/>
          </w:rPr>
          <w:t>mail</w:t>
        </w:r>
        <w:r w:rsidR="00471158" w:rsidRPr="00B01471">
          <w:rPr>
            <w:rStyle w:val="a7"/>
            <w:color w:val="auto"/>
            <w:sz w:val="22"/>
            <w:szCs w:val="22"/>
            <w:u w:val="none"/>
          </w:rPr>
          <w:t>.</w:t>
        </w:r>
        <w:r w:rsidR="00471158" w:rsidRPr="00B01471">
          <w:rPr>
            <w:rStyle w:val="a7"/>
            <w:color w:val="auto"/>
            <w:sz w:val="22"/>
            <w:szCs w:val="22"/>
            <w:u w:val="none"/>
            <w:lang w:val="en-US"/>
          </w:rPr>
          <w:t>ru</w:t>
        </w:r>
      </w:hyperlink>
      <w:r w:rsidR="00471158" w:rsidRPr="00B01471">
        <w:rPr>
          <w:szCs w:val="24"/>
        </w:rPr>
        <w:t>.</w:t>
      </w:r>
      <w:r w:rsidR="00C244E8" w:rsidRPr="00A83C18">
        <w:rPr>
          <w:szCs w:val="24"/>
        </w:rPr>
        <w:t xml:space="preserve"> </w:t>
      </w:r>
    </w:p>
    <w:p w14:paraId="232BAED3" w14:textId="77777777" w:rsidR="00115896" w:rsidRDefault="00115896" w:rsidP="00115896">
      <w:pPr>
        <w:spacing w:after="120"/>
        <w:ind w:firstLine="567"/>
        <w:jc w:val="both"/>
        <w:rPr>
          <w:i/>
          <w:sz w:val="28"/>
          <w:szCs w:val="28"/>
        </w:rPr>
        <w:sectPr w:rsidR="00115896" w:rsidSect="00EB675A">
          <w:pgSz w:w="11907" w:h="16840"/>
          <w:pgMar w:top="720" w:right="720" w:bottom="720" w:left="720" w:header="720" w:footer="720" w:gutter="0"/>
          <w:cols w:space="720"/>
          <w:docGrid w:linePitch="326"/>
        </w:sectPr>
      </w:pPr>
    </w:p>
    <w:p w14:paraId="5DDEAABE" w14:textId="77777777" w:rsidR="00115896" w:rsidRPr="0033291C" w:rsidRDefault="00115896" w:rsidP="00115896">
      <w:pPr>
        <w:spacing w:after="120"/>
        <w:ind w:firstLine="567"/>
        <w:jc w:val="right"/>
        <w:rPr>
          <w:b/>
          <w:i/>
        </w:rPr>
      </w:pPr>
      <w:r w:rsidRPr="0033291C">
        <w:rPr>
          <w:b/>
          <w:i/>
        </w:rPr>
        <w:lastRenderedPageBreak/>
        <w:t>Пример оформления</w:t>
      </w:r>
    </w:p>
    <w:p w14:paraId="42492FE9" w14:textId="77777777" w:rsidR="00115896" w:rsidRPr="00973D49" w:rsidRDefault="00115896" w:rsidP="00011FFF">
      <w:pPr>
        <w:rPr>
          <w:szCs w:val="24"/>
        </w:rPr>
      </w:pPr>
      <w:r w:rsidRPr="0033291C">
        <w:rPr>
          <w:b/>
          <w:bCs/>
          <w:szCs w:val="24"/>
        </w:rPr>
        <w:t>ПРИКЛАДНЫЕ ТЕХНОЛОГИИ</w:t>
      </w:r>
      <w:r>
        <w:rPr>
          <w:b/>
          <w:bCs/>
          <w:szCs w:val="24"/>
        </w:rPr>
        <w:t xml:space="preserve"> ИЗУЧЕНИЯ БЛИЖНЕГО ЗВУКОВОГО ПОЛЯ </w:t>
      </w:r>
      <w:r w:rsidR="00C244E8">
        <w:rPr>
          <w:b/>
          <w:bCs/>
          <w:szCs w:val="24"/>
        </w:rPr>
        <w:br/>
      </w:r>
      <w:r>
        <w:rPr>
          <w:b/>
          <w:bCs/>
          <w:szCs w:val="24"/>
        </w:rPr>
        <w:t>ОТ МАЛОРАЗМЕРНОГО АКУСТИЧЕСКОГО ИСТОЧНИКА</w:t>
      </w:r>
      <w:r w:rsidR="00011FFF">
        <w:rPr>
          <w:b/>
          <w:bCs/>
          <w:szCs w:val="24"/>
        </w:rPr>
        <w:br/>
      </w:r>
      <w:r w:rsidRPr="00973D49">
        <w:rPr>
          <w:szCs w:val="24"/>
        </w:rPr>
        <w:t>А.А.</w:t>
      </w:r>
      <w:r w:rsidR="00011FFF">
        <w:rPr>
          <w:szCs w:val="24"/>
        </w:rPr>
        <w:t xml:space="preserve"> </w:t>
      </w:r>
      <w:r w:rsidRPr="00973D49">
        <w:rPr>
          <w:szCs w:val="24"/>
        </w:rPr>
        <w:t>Иванов</w:t>
      </w:r>
      <w:r w:rsidRPr="00973D49">
        <w:rPr>
          <w:szCs w:val="24"/>
          <w:vertAlign w:val="superscript"/>
        </w:rPr>
        <w:t>1</w:t>
      </w:r>
      <w:r w:rsidRPr="00973D49">
        <w:rPr>
          <w:szCs w:val="24"/>
        </w:rPr>
        <w:t>, к.т.н</w:t>
      </w:r>
      <w:r>
        <w:rPr>
          <w:szCs w:val="24"/>
        </w:rPr>
        <w:t>.</w:t>
      </w:r>
      <w:r w:rsidRPr="00973D49">
        <w:rPr>
          <w:szCs w:val="24"/>
        </w:rPr>
        <w:t>, Б.Б.</w:t>
      </w:r>
      <w:r w:rsidR="00011FFF">
        <w:rPr>
          <w:szCs w:val="24"/>
        </w:rPr>
        <w:t xml:space="preserve"> </w:t>
      </w:r>
      <w:r w:rsidRPr="00973D49">
        <w:rPr>
          <w:szCs w:val="24"/>
        </w:rPr>
        <w:t>Петров</w:t>
      </w:r>
      <w:r w:rsidRPr="00973D49">
        <w:rPr>
          <w:szCs w:val="24"/>
          <w:vertAlign w:val="superscript"/>
        </w:rPr>
        <w:t>1</w:t>
      </w:r>
      <w:r w:rsidRPr="00973D49">
        <w:rPr>
          <w:szCs w:val="24"/>
        </w:rPr>
        <w:t xml:space="preserve">, </w:t>
      </w:r>
      <w:r w:rsidR="00F1647D">
        <w:rPr>
          <w:szCs w:val="24"/>
        </w:rPr>
        <w:t>д</w:t>
      </w:r>
      <w:r w:rsidRPr="00973D49">
        <w:rPr>
          <w:szCs w:val="24"/>
        </w:rPr>
        <w:t>.ф.-м.н</w:t>
      </w:r>
      <w:r>
        <w:rPr>
          <w:szCs w:val="24"/>
        </w:rPr>
        <w:t>.</w:t>
      </w:r>
      <w:r w:rsidRPr="00973D49">
        <w:rPr>
          <w:szCs w:val="24"/>
        </w:rPr>
        <w:t>, В.В.</w:t>
      </w:r>
      <w:r w:rsidR="00011FFF">
        <w:rPr>
          <w:szCs w:val="24"/>
        </w:rPr>
        <w:t xml:space="preserve"> </w:t>
      </w:r>
      <w:r w:rsidRPr="00973D49">
        <w:rPr>
          <w:szCs w:val="24"/>
        </w:rPr>
        <w:t>Сидоров</w:t>
      </w:r>
      <w:r w:rsidRPr="00973D49">
        <w:rPr>
          <w:szCs w:val="24"/>
          <w:vertAlign w:val="superscript"/>
        </w:rPr>
        <w:t>2</w:t>
      </w:r>
      <w:r w:rsidR="00011FFF">
        <w:rPr>
          <w:szCs w:val="24"/>
        </w:rPr>
        <w:br/>
      </w:r>
      <w:r w:rsidRPr="00973D49">
        <w:rPr>
          <w:szCs w:val="24"/>
          <w:vertAlign w:val="superscript"/>
        </w:rPr>
        <w:t>1</w:t>
      </w:r>
      <w:r w:rsidRPr="00973D49">
        <w:rPr>
          <w:szCs w:val="24"/>
        </w:rPr>
        <w:t>АО «Концерн «Океанприбор», Санкт-Петербург, Россия</w:t>
      </w:r>
      <w:r w:rsidR="00011FFF">
        <w:rPr>
          <w:szCs w:val="24"/>
        </w:rPr>
        <w:br/>
      </w:r>
      <w:r w:rsidRPr="00973D49">
        <w:rPr>
          <w:szCs w:val="24"/>
          <w:vertAlign w:val="superscript"/>
        </w:rPr>
        <w:t>2</w:t>
      </w:r>
      <w:r w:rsidRPr="00973D49">
        <w:rPr>
          <w:szCs w:val="24"/>
        </w:rPr>
        <w:t>АО «Северный Рейд», Северодвинск, Россия</w:t>
      </w:r>
    </w:p>
    <w:p w14:paraId="0CBFE546" w14:textId="77777777" w:rsidR="004E2B42" w:rsidRDefault="004E2B42" w:rsidP="004E2B42">
      <w:pPr>
        <w:suppressAutoHyphens/>
        <w:ind w:firstLine="567"/>
        <w:jc w:val="both"/>
        <w:rPr>
          <w:b/>
          <w:i/>
          <w:iCs/>
          <w:sz w:val="20"/>
          <w:szCs w:val="24"/>
        </w:rPr>
      </w:pPr>
    </w:p>
    <w:p w14:paraId="38CB69EC" w14:textId="77777777" w:rsidR="004E2B42" w:rsidRPr="004E2B42" w:rsidRDefault="004E2B42" w:rsidP="004E2B42">
      <w:pPr>
        <w:suppressAutoHyphens/>
        <w:ind w:firstLine="567"/>
        <w:jc w:val="both"/>
        <w:rPr>
          <w:iCs/>
          <w:sz w:val="20"/>
          <w:szCs w:val="24"/>
        </w:rPr>
      </w:pPr>
      <w:r w:rsidRPr="004E2B42">
        <w:rPr>
          <w:b/>
          <w:iCs/>
          <w:sz w:val="20"/>
          <w:szCs w:val="24"/>
        </w:rPr>
        <w:t xml:space="preserve">Аннотация. </w:t>
      </w:r>
      <w:r w:rsidRPr="004E2B42">
        <w:rPr>
          <w:iCs/>
          <w:sz w:val="20"/>
          <w:szCs w:val="24"/>
        </w:rPr>
        <w:t xml:space="preserve">Рассматриваются вопросы моделирования акустического поля на основе теории </w:t>
      </w:r>
      <w:proofErr w:type="spellStart"/>
      <w:r w:rsidRPr="004E2B42">
        <w:rPr>
          <w:iCs/>
          <w:sz w:val="20"/>
          <w:szCs w:val="24"/>
        </w:rPr>
        <w:t>многоантенных</w:t>
      </w:r>
      <w:proofErr w:type="spellEnd"/>
      <w:r w:rsidRPr="004E2B42">
        <w:rPr>
          <w:iCs/>
          <w:sz w:val="20"/>
          <w:szCs w:val="24"/>
        </w:rPr>
        <w:t xml:space="preserve"> систем. Известно, что расчет акустического поля – достаточно сложная задача, в процессе решения которой учитывается огромное число факторов, многие из которых не являются числовыми или сводимыми к двузначной логике «да», «нет».</w:t>
      </w:r>
    </w:p>
    <w:p w14:paraId="6EAB651D" w14:textId="77777777" w:rsidR="004E2B42" w:rsidRPr="004E2B42" w:rsidRDefault="004E2B42" w:rsidP="004E2B42">
      <w:pPr>
        <w:suppressAutoHyphens/>
        <w:ind w:firstLine="567"/>
        <w:jc w:val="both"/>
        <w:rPr>
          <w:iCs/>
          <w:sz w:val="20"/>
          <w:szCs w:val="24"/>
        </w:rPr>
      </w:pPr>
      <w:r w:rsidRPr="004E2B42">
        <w:rPr>
          <w:b/>
          <w:iCs/>
          <w:sz w:val="20"/>
          <w:szCs w:val="24"/>
        </w:rPr>
        <w:t xml:space="preserve">Ключевые слова: </w:t>
      </w:r>
      <w:r w:rsidRPr="004E2B42">
        <w:rPr>
          <w:iCs/>
          <w:sz w:val="20"/>
        </w:rPr>
        <w:t>гидрофизические поля, пеленг, акустические приемники, характеристики направленности</w:t>
      </w:r>
    </w:p>
    <w:p w14:paraId="4052F655" w14:textId="77777777" w:rsidR="00115896" w:rsidRPr="008B171E" w:rsidRDefault="00115896" w:rsidP="00115896">
      <w:pPr>
        <w:rPr>
          <w:sz w:val="20"/>
        </w:rPr>
      </w:pPr>
    </w:p>
    <w:p w14:paraId="49C0EAD4" w14:textId="77777777" w:rsidR="00011FFF" w:rsidRPr="00011FFF" w:rsidRDefault="00011FFF" w:rsidP="00011FFF">
      <w:pPr>
        <w:suppressAutoHyphens/>
        <w:jc w:val="both"/>
        <w:rPr>
          <w:iCs/>
          <w:szCs w:val="24"/>
          <w:lang w:val="en-US"/>
        </w:rPr>
      </w:pPr>
      <w:r w:rsidRPr="004E2B42">
        <w:rPr>
          <w:b/>
          <w:iCs/>
          <w:szCs w:val="24"/>
          <w:lang w:val="en-US"/>
        </w:rPr>
        <w:t xml:space="preserve">APPLIED TECHNOLOGIES OF STUDYING OF THE NEAR SOUND FIELD </w:t>
      </w:r>
      <w:r w:rsidR="00C244E8" w:rsidRPr="00C244E8">
        <w:rPr>
          <w:b/>
          <w:iCs/>
          <w:szCs w:val="24"/>
          <w:lang w:val="en-US"/>
        </w:rPr>
        <w:br/>
      </w:r>
      <w:r w:rsidRPr="004E2B42">
        <w:rPr>
          <w:b/>
          <w:iCs/>
          <w:szCs w:val="24"/>
          <w:lang w:val="en-US"/>
        </w:rPr>
        <w:t>FROM THE SMALL-SIZED ACOUSTIC SOURCE</w:t>
      </w:r>
      <w:r w:rsidRPr="00011FFF">
        <w:rPr>
          <w:iCs/>
          <w:szCs w:val="24"/>
          <w:lang w:val="en-US"/>
        </w:rPr>
        <w:br/>
        <w:t>A.A. Ivanov</w:t>
      </w:r>
      <w:r w:rsidRPr="00011FFF">
        <w:rPr>
          <w:iCs/>
          <w:szCs w:val="24"/>
          <w:vertAlign w:val="superscript"/>
          <w:lang w:val="en-US"/>
        </w:rPr>
        <w:t>1</w:t>
      </w:r>
      <w:r w:rsidRPr="00011FFF">
        <w:rPr>
          <w:iCs/>
          <w:szCs w:val="24"/>
          <w:lang w:val="en-US"/>
        </w:rPr>
        <w:t xml:space="preserve">, </w:t>
      </w:r>
      <w:r w:rsidRPr="00830656">
        <w:rPr>
          <w:lang w:val="en-US"/>
        </w:rPr>
        <w:t>Ph.D.</w:t>
      </w:r>
      <w:r w:rsidRPr="00011FFF">
        <w:rPr>
          <w:iCs/>
          <w:szCs w:val="24"/>
          <w:lang w:val="en-US"/>
        </w:rPr>
        <w:t>, B.</w:t>
      </w:r>
      <w:proofErr w:type="gramStart"/>
      <w:r w:rsidRPr="00011FFF">
        <w:rPr>
          <w:iCs/>
          <w:szCs w:val="24"/>
          <w:lang w:val="en-US"/>
        </w:rPr>
        <w:t>B.Petrov</w:t>
      </w:r>
      <w:proofErr w:type="gramEnd"/>
      <w:r w:rsidRPr="00011FFF">
        <w:rPr>
          <w:iCs/>
          <w:szCs w:val="24"/>
          <w:vertAlign w:val="superscript"/>
          <w:lang w:val="en-US"/>
        </w:rPr>
        <w:t>1</w:t>
      </w:r>
      <w:r w:rsidRPr="00011FFF">
        <w:rPr>
          <w:iCs/>
          <w:szCs w:val="24"/>
          <w:lang w:val="en-US"/>
        </w:rPr>
        <w:t xml:space="preserve">, </w:t>
      </w:r>
      <w:proofErr w:type="spellStart"/>
      <w:r w:rsidR="00F1647D" w:rsidRPr="00830656">
        <w:rPr>
          <w:lang w:val="en-US"/>
        </w:rPr>
        <w:t>Dr.Sc</w:t>
      </w:r>
      <w:proofErr w:type="spellEnd"/>
      <w:r w:rsidRPr="00830656">
        <w:rPr>
          <w:lang w:val="en-US"/>
        </w:rPr>
        <w:t>.</w:t>
      </w:r>
      <w:r w:rsidRPr="00011FFF">
        <w:rPr>
          <w:iCs/>
          <w:szCs w:val="24"/>
          <w:lang w:val="en-US"/>
        </w:rPr>
        <w:t>, V.</w:t>
      </w:r>
      <w:proofErr w:type="gramStart"/>
      <w:r w:rsidRPr="00011FFF">
        <w:rPr>
          <w:iCs/>
          <w:szCs w:val="24"/>
          <w:lang w:val="en-US"/>
        </w:rPr>
        <w:t>V.Sidorov</w:t>
      </w:r>
      <w:proofErr w:type="gramEnd"/>
      <w:r w:rsidRPr="00011FFF">
        <w:rPr>
          <w:iCs/>
          <w:szCs w:val="24"/>
          <w:vertAlign w:val="superscript"/>
          <w:lang w:val="en-US"/>
        </w:rPr>
        <w:t>2</w:t>
      </w:r>
      <w:r w:rsidRPr="00011FFF">
        <w:rPr>
          <w:iCs/>
          <w:szCs w:val="24"/>
          <w:lang w:val="en-US"/>
        </w:rPr>
        <w:br/>
      </w:r>
      <w:r w:rsidRPr="00011FFF">
        <w:rPr>
          <w:iCs/>
          <w:szCs w:val="24"/>
          <w:vertAlign w:val="superscript"/>
          <w:lang w:val="en-US"/>
        </w:rPr>
        <w:t>1</w:t>
      </w:r>
      <w:r w:rsidRPr="00011FFF">
        <w:rPr>
          <w:iCs/>
          <w:szCs w:val="24"/>
          <w:lang w:val="en-US"/>
        </w:rPr>
        <w:t xml:space="preserve"> JSC Concern</w:t>
      </w:r>
      <w:r w:rsidR="004E2B42" w:rsidRPr="004E2B42">
        <w:rPr>
          <w:iCs/>
          <w:szCs w:val="24"/>
          <w:lang w:val="en-US"/>
        </w:rPr>
        <w:t xml:space="preserve"> «</w:t>
      </w:r>
      <w:proofErr w:type="spellStart"/>
      <w:r w:rsidR="004E2B42" w:rsidRPr="00011FFF">
        <w:rPr>
          <w:iCs/>
          <w:szCs w:val="24"/>
          <w:lang w:val="en-US"/>
        </w:rPr>
        <w:t>O</w:t>
      </w:r>
      <w:r w:rsidR="004E2B42">
        <w:rPr>
          <w:iCs/>
          <w:szCs w:val="24"/>
          <w:lang w:val="en-US"/>
        </w:rPr>
        <w:t>c</w:t>
      </w:r>
      <w:r w:rsidR="004E2B42" w:rsidRPr="00011FFF">
        <w:rPr>
          <w:iCs/>
          <w:szCs w:val="24"/>
          <w:lang w:val="en-US"/>
        </w:rPr>
        <w:t>eanpribor</w:t>
      </w:r>
      <w:proofErr w:type="spellEnd"/>
      <w:r w:rsidR="004E2B42" w:rsidRPr="004E2B42">
        <w:rPr>
          <w:iCs/>
          <w:szCs w:val="24"/>
          <w:lang w:val="en-US"/>
        </w:rPr>
        <w:t>»</w:t>
      </w:r>
      <w:r w:rsidRPr="00011FFF">
        <w:rPr>
          <w:iCs/>
          <w:szCs w:val="24"/>
          <w:lang w:val="en-US"/>
        </w:rPr>
        <w:t>, St. Petersburg, Russia</w:t>
      </w:r>
      <w:r w:rsidRPr="00011FFF">
        <w:rPr>
          <w:iCs/>
          <w:szCs w:val="24"/>
          <w:lang w:val="en-US"/>
        </w:rPr>
        <w:br/>
      </w:r>
      <w:r w:rsidRPr="00011FFF">
        <w:rPr>
          <w:iCs/>
          <w:szCs w:val="24"/>
          <w:vertAlign w:val="superscript"/>
          <w:lang w:val="en-US"/>
        </w:rPr>
        <w:t>2</w:t>
      </w:r>
      <w:r w:rsidRPr="00011FFF">
        <w:rPr>
          <w:iCs/>
          <w:szCs w:val="24"/>
          <w:lang w:val="en-US"/>
        </w:rPr>
        <w:t xml:space="preserve"> JSC </w:t>
      </w:r>
      <w:r w:rsidR="004E2B42" w:rsidRPr="004E2B42">
        <w:rPr>
          <w:iCs/>
          <w:szCs w:val="24"/>
          <w:lang w:val="en-US"/>
        </w:rPr>
        <w:t>«</w:t>
      </w:r>
      <w:r w:rsidRPr="00011FFF">
        <w:rPr>
          <w:iCs/>
          <w:szCs w:val="24"/>
          <w:lang w:val="en-US"/>
        </w:rPr>
        <w:t>Severny Reyd</w:t>
      </w:r>
      <w:r w:rsidR="004E2B42" w:rsidRPr="004E2B42">
        <w:rPr>
          <w:iCs/>
          <w:szCs w:val="24"/>
          <w:lang w:val="en-US"/>
        </w:rPr>
        <w:t>»</w:t>
      </w:r>
      <w:r w:rsidRPr="00011FFF">
        <w:rPr>
          <w:iCs/>
          <w:szCs w:val="24"/>
          <w:lang w:val="en-US"/>
        </w:rPr>
        <w:t>, Severodvinsk, Russia</w:t>
      </w:r>
    </w:p>
    <w:p w14:paraId="08FD9997" w14:textId="77777777" w:rsidR="00011FFF" w:rsidRPr="00011FFF" w:rsidRDefault="00011FFF" w:rsidP="00115896">
      <w:pPr>
        <w:contextualSpacing/>
        <w:rPr>
          <w:sz w:val="20"/>
          <w:lang w:val="en-US"/>
        </w:rPr>
      </w:pPr>
    </w:p>
    <w:p w14:paraId="03F9EFC7" w14:textId="77777777" w:rsidR="00115896" w:rsidRPr="004E2B42" w:rsidRDefault="00011FFF" w:rsidP="00011FFF">
      <w:pPr>
        <w:suppressAutoHyphens/>
        <w:ind w:firstLine="567"/>
        <w:jc w:val="both"/>
        <w:rPr>
          <w:iCs/>
          <w:sz w:val="20"/>
          <w:szCs w:val="24"/>
          <w:lang w:val="en-US"/>
        </w:rPr>
      </w:pPr>
      <w:r w:rsidRPr="004E2B42">
        <w:rPr>
          <w:b/>
          <w:iCs/>
          <w:sz w:val="20"/>
          <w:lang w:val="en-US"/>
        </w:rPr>
        <w:t>Abstract</w:t>
      </w:r>
      <w:r w:rsidR="004E2B42" w:rsidRPr="009A3C1E">
        <w:rPr>
          <w:b/>
          <w:iCs/>
          <w:sz w:val="20"/>
          <w:lang w:val="en-US"/>
        </w:rPr>
        <w:t>.</w:t>
      </w:r>
      <w:r w:rsidRPr="004E2B42">
        <w:rPr>
          <w:b/>
          <w:iCs/>
          <w:sz w:val="20"/>
          <w:lang w:val="en-US"/>
        </w:rPr>
        <w:t xml:space="preserve"> </w:t>
      </w:r>
      <w:r w:rsidRPr="004E2B42">
        <w:rPr>
          <w:iCs/>
          <w:sz w:val="20"/>
          <w:szCs w:val="24"/>
          <w:lang w:val="en-US"/>
        </w:rPr>
        <w:t xml:space="preserve">Questions of modeling of an acoustic field on the basis of the theory of multiantenna systems are considered. It is known that calculation of an acoustic field – rather complex challenge in the course of which solution the huge number of factors is considered many of which are not numerical or reduced </w:t>
      </w:r>
      <w:r w:rsidR="004E2B42" w:rsidRPr="004E2B42">
        <w:rPr>
          <w:iCs/>
          <w:sz w:val="20"/>
          <w:szCs w:val="24"/>
          <w:lang w:val="en-US"/>
        </w:rPr>
        <w:t xml:space="preserve">to two-digit logic "yes", "no". </w:t>
      </w:r>
    </w:p>
    <w:p w14:paraId="2670686E" w14:textId="77777777" w:rsidR="00011FFF" w:rsidRPr="004E2B42" w:rsidRDefault="00011FFF" w:rsidP="00011FFF">
      <w:pPr>
        <w:suppressAutoHyphens/>
        <w:ind w:firstLine="567"/>
        <w:jc w:val="both"/>
        <w:rPr>
          <w:iCs/>
          <w:sz w:val="20"/>
          <w:szCs w:val="24"/>
          <w:lang w:val="en-US"/>
        </w:rPr>
      </w:pPr>
      <w:r w:rsidRPr="004E2B42">
        <w:rPr>
          <w:b/>
          <w:iCs/>
          <w:sz w:val="20"/>
          <w:lang w:val="en-US"/>
        </w:rPr>
        <w:t xml:space="preserve">Keywords: </w:t>
      </w:r>
      <w:proofErr w:type="spellStart"/>
      <w:r w:rsidRPr="004E2B42">
        <w:rPr>
          <w:iCs/>
          <w:sz w:val="20"/>
          <w:lang w:val="en-US"/>
        </w:rPr>
        <w:t>hydrophysical</w:t>
      </w:r>
      <w:proofErr w:type="spellEnd"/>
      <w:r w:rsidRPr="004E2B42">
        <w:rPr>
          <w:iCs/>
          <w:sz w:val="20"/>
          <w:lang w:val="en-US"/>
        </w:rPr>
        <w:t xml:space="preserve"> fields, bearing, acoustic receivers, beam pattern</w:t>
      </w:r>
    </w:p>
    <w:p w14:paraId="41631436" w14:textId="77777777" w:rsidR="00011FFF" w:rsidRPr="004E2B42" w:rsidRDefault="00011FFF" w:rsidP="00115896">
      <w:pPr>
        <w:suppressAutoHyphens/>
        <w:jc w:val="both"/>
        <w:rPr>
          <w:iCs/>
          <w:sz w:val="20"/>
          <w:szCs w:val="24"/>
          <w:lang w:val="en-US"/>
        </w:rPr>
      </w:pPr>
    </w:p>
    <w:p w14:paraId="110B23B4" w14:textId="77777777" w:rsidR="00115896" w:rsidRPr="00C244E8" w:rsidRDefault="00115896" w:rsidP="00011FFF">
      <w:pPr>
        <w:ind w:firstLine="567"/>
        <w:jc w:val="both"/>
        <w:rPr>
          <w:bCs/>
        </w:rPr>
      </w:pPr>
      <w:r w:rsidRPr="00C244E8">
        <w:rPr>
          <w:bCs/>
        </w:rPr>
        <w:t>Протяженные низкочастотные пассивные акустические антенны [1], буксируемые за кораблем-носителем, используются для обнаружения морских целей, исследования шумов морской среды и разведки полезных ископаемых на море [2].</w:t>
      </w:r>
    </w:p>
    <w:p w14:paraId="736559D3" w14:textId="77777777" w:rsidR="00115896" w:rsidRPr="00C244E8" w:rsidRDefault="00115896" w:rsidP="00011FFF">
      <w:pPr>
        <w:ind w:firstLine="567"/>
        <w:jc w:val="both"/>
      </w:pPr>
      <w:r w:rsidRPr="00C244E8">
        <w:rPr>
          <w:b/>
        </w:rPr>
        <w:t xml:space="preserve">Качества параметрических гидролокационных систем. </w:t>
      </w:r>
      <w:r w:rsidRPr="00C244E8">
        <w:t>Одним из наиболее важных качеств параметрических гидролокационных систем является возможность оперативной перестройки параметров зондирующих сигналов в достаточно широких пределах.</w:t>
      </w:r>
    </w:p>
    <w:p w14:paraId="1233DEA7" w14:textId="77777777" w:rsidR="00115896" w:rsidRPr="00C244E8" w:rsidRDefault="00115896" w:rsidP="00011FFF">
      <w:pPr>
        <w:tabs>
          <w:tab w:val="left" w:pos="2552"/>
          <w:tab w:val="left" w:pos="8789"/>
        </w:tabs>
        <w:ind w:firstLine="567"/>
        <w:jc w:val="center"/>
      </w:pPr>
      <w:r w:rsidRPr="00C244E8">
        <w:rPr>
          <w:b/>
        </w:rPr>
        <w:tab/>
      </w:r>
      <m:oMath>
        <m: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sinkd</m:t>
                </m:r>
              </m:e>
            </m:d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sin</m:t>
            </m:r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0,5</m:t>
                </m:r>
                <m:r>
                  <w:rPr>
                    <w:rFonts w:ascii="Cambria Math" w:hAnsi="Cambria Math"/>
                    <w:lang w:val="en-US"/>
                  </w:rPr>
                  <m:t>kd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12+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lang w:val="en-US"/>
                          </w:rPr>
                          <m:t>cos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α</m:t>
                            </m:r>
                          </m:e>
                        </m:d>
                      </m:e>
                    </m:func>
                  </m:e>
                </m:d>
              </m:e>
            </m:d>
          </m:e>
        </m:func>
        <m:r>
          <m:rPr>
            <m:sty m:val="bi"/>
          </m:rPr>
          <w:rPr>
            <w:rFonts w:ascii="Cambria Math" w:hAnsi="Cambria Math"/>
          </w:rPr>
          <m:t xml:space="preserve"> </m:t>
        </m:r>
      </m:oMath>
      <w:r w:rsidRPr="00C244E8">
        <w:rPr>
          <w:b/>
          <w:i/>
        </w:rPr>
        <w:t>,</w:t>
      </w:r>
      <w:r w:rsidRPr="00C244E8">
        <w:tab/>
        <w:t>(1)</w:t>
      </w:r>
    </w:p>
    <w:p w14:paraId="6AF16ED4" w14:textId="77777777" w:rsidR="00115896" w:rsidRPr="00C244E8" w:rsidRDefault="00115896" w:rsidP="00F1647D">
      <w:pPr>
        <w:jc w:val="both"/>
      </w:pPr>
      <w:r w:rsidRPr="00C244E8">
        <w:t xml:space="preserve">где </w:t>
      </w:r>
      <w:r w:rsidRPr="00C244E8">
        <w:rPr>
          <w:i/>
          <w:iCs/>
        </w:rPr>
        <w:t>R</w:t>
      </w:r>
      <w:r w:rsidRPr="00C244E8">
        <w:t xml:space="preserve"> – главная характеристика; </w:t>
      </w:r>
      <w:r w:rsidRPr="00C244E8">
        <w:rPr>
          <w:iCs/>
        </w:rPr>
        <w:t>α</w:t>
      </w:r>
      <w:r w:rsidRPr="00C244E8">
        <w:rPr>
          <w:i/>
        </w:rPr>
        <w:t xml:space="preserve"> –</w:t>
      </w:r>
      <w:r w:rsidRPr="00C244E8">
        <w:t xml:space="preserve"> угол.</w:t>
      </w:r>
    </w:p>
    <w:p w14:paraId="4B35A3C4" w14:textId="77777777" w:rsidR="00115896" w:rsidRPr="00C244E8" w:rsidRDefault="00115896" w:rsidP="00011FFF">
      <w:pPr>
        <w:ind w:firstLine="567"/>
        <w:jc w:val="both"/>
      </w:pPr>
      <w:r w:rsidRPr="00C244E8">
        <w:t xml:space="preserve">Это </w:t>
      </w:r>
      <w:r w:rsidRPr="00C244E8">
        <w:rPr>
          <w:bCs/>
        </w:rPr>
        <w:t>позволяет</w:t>
      </w:r>
      <w:r w:rsidRPr="00C244E8">
        <w:t xml:space="preserve"> адаптировать излучаемый сигнал к конкретной акустической ситуации, как показано на рисунке 1.</w:t>
      </w:r>
    </w:p>
    <w:p w14:paraId="63D86DA5" w14:textId="77777777" w:rsidR="00115896" w:rsidRDefault="00115896" w:rsidP="00115896">
      <w:pPr>
        <w:jc w:val="center"/>
        <w:rPr>
          <w:sz w:val="20"/>
        </w:rPr>
      </w:pPr>
    </w:p>
    <w:p w14:paraId="00F32BCF" w14:textId="77777777" w:rsidR="00115896" w:rsidRDefault="00115896" w:rsidP="00115896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657F79ED" wp14:editId="66756392">
            <wp:extent cx="2453268" cy="1105128"/>
            <wp:effectExtent l="0" t="0" r="444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мпенсация в ГП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156" cy="110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46803" w14:textId="77777777" w:rsidR="00115896" w:rsidRDefault="00115896" w:rsidP="00115896">
      <w:pPr>
        <w:jc w:val="center"/>
        <w:rPr>
          <w:sz w:val="20"/>
        </w:rPr>
      </w:pPr>
      <w:r w:rsidRPr="0033291C">
        <w:rPr>
          <w:sz w:val="20"/>
        </w:rPr>
        <w:t>Рисунок 1</w:t>
      </w:r>
      <w:r w:rsidR="00011FFF">
        <w:rPr>
          <w:sz w:val="20"/>
        </w:rPr>
        <w:t>.</w:t>
      </w:r>
      <w:r w:rsidRPr="0033291C">
        <w:rPr>
          <w:sz w:val="20"/>
        </w:rPr>
        <w:t xml:space="preserve"> Акустическая ситуация для адаптированного сигнала</w:t>
      </w:r>
    </w:p>
    <w:p w14:paraId="5476FD54" w14:textId="77777777" w:rsidR="00115896" w:rsidRPr="0033291C" w:rsidRDefault="00115896" w:rsidP="00115896">
      <w:pPr>
        <w:jc w:val="center"/>
        <w:rPr>
          <w:sz w:val="20"/>
        </w:rPr>
      </w:pPr>
    </w:p>
    <w:p w14:paraId="73E1545E" w14:textId="77777777" w:rsidR="00115896" w:rsidRPr="00C244E8" w:rsidRDefault="00115896" w:rsidP="00011FFF">
      <w:pPr>
        <w:ind w:firstLine="567"/>
        <w:jc w:val="both"/>
      </w:pPr>
      <w:r w:rsidRPr="00C244E8">
        <w:rPr>
          <w:bCs/>
        </w:rPr>
        <w:t>Необходимость</w:t>
      </w:r>
      <w:r w:rsidRPr="00C244E8">
        <w:t xml:space="preserve"> такой адаптации возникает тогда, когда неизвестны условия распространения и отражения волн, нет достаточной информации об объекте поиска и эффективных способов выделения эхо-сигнала (см. таблицу 1).</w:t>
      </w:r>
    </w:p>
    <w:p w14:paraId="266EA25F" w14:textId="77777777" w:rsidR="00115896" w:rsidRPr="00BC7ED8" w:rsidRDefault="00115896" w:rsidP="00115896">
      <w:pPr>
        <w:jc w:val="center"/>
        <w:rPr>
          <w:sz w:val="20"/>
        </w:rPr>
      </w:pPr>
    </w:p>
    <w:p w14:paraId="7D57D2AD" w14:textId="77777777" w:rsidR="00011FFF" w:rsidRPr="00011FFF" w:rsidRDefault="00115896" w:rsidP="00011FFF">
      <w:pPr>
        <w:jc w:val="right"/>
        <w:rPr>
          <w:i/>
          <w:sz w:val="20"/>
        </w:rPr>
      </w:pPr>
      <w:r w:rsidRPr="00011FFF">
        <w:rPr>
          <w:i/>
          <w:sz w:val="20"/>
        </w:rPr>
        <w:t xml:space="preserve">Таблица 1 </w:t>
      </w:r>
    </w:p>
    <w:p w14:paraId="2D3A3195" w14:textId="77777777" w:rsidR="00115896" w:rsidRPr="00011FFF" w:rsidRDefault="00115896" w:rsidP="00011FFF">
      <w:pPr>
        <w:jc w:val="center"/>
        <w:rPr>
          <w:b/>
          <w:sz w:val="20"/>
        </w:rPr>
      </w:pPr>
      <w:r w:rsidRPr="00011FFF">
        <w:rPr>
          <w:b/>
          <w:sz w:val="20"/>
        </w:rPr>
        <w:t>Выделение сигнала для конкретных условий распространения</w:t>
      </w:r>
    </w:p>
    <w:p w14:paraId="2C8CE8FD" w14:textId="77777777" w:rsidR="00011FFF" w:rsidRPr="0033291C" w:rsidRDefault="00011FFF" w:rsidP="00011FFF">
      <w:pPr>
        <w:jc w:val="center"/>
        <w:rPr>
          <w:sz w:val="20"/>
        </w:rPr>
      </w:pPr>
    </w:p>
    <w:tbl>
      <w:tblPr>
        <w:tblW w:w="91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2732"/>
      </w:tblGrid>
      <w:tr w:rsidR="00115896" w:rsidRPr="0033291C" w14:paraId="1C9D129C" w14:textId="77777777" w:rsidTr="00912135">
        <w:tc>
          <w:tcPr>
            <w:tcW w:w="3191" w:type="dxa"/>
            <w:shd w:val="clear" w:color="auto" w:fill="auto"/>
          </w:tcPr>
          <w:p w14:paraId="34D2ECCE" w14:textId="77777777" w:rsidR="00115896" w:rsidRPr="0033291C" w:rsidRDefault="00115896" w:rsidP="00912135">
            <w:pPr>
              <w:jc w:val="both"/>
              <w:rPr>
                <w:sz w:val="20"/>
              </w:rPr>
            </w:pPr>
          </w:p>
        </w:tc>
        <w:tc>
          <w:tcPr>
            <w:tcW w:w="3190" w:type="dxa"/>
            <w:shd w:val="clear" w:color="auto" w:fill="auto"/>
          </w:tcPr>
          <w:p w14:paraId="1AD36BD6" w14:textId="77777777" w:rsidR="00115896" w:rsidRPr="0033291C" w:rsidRDefault="00115896" w:rsidP="00912135">
            <w:pPr>
              <w:jc w:val="both"/>
              <w:rPr>
                <w:sz w:val="20"/>
              </w:rPr>
            </w:pPr>
          </w:p>
        </w:tc>
        <w:tc>
          <w:tcPr>
            <w:tcW w:w="2732" w:type="dxa"/>
            <w:shd w:val="clear" w:color="auto" w:fill="auto"/>
          </w:tcPr>
          <w:p w14:paraId="3BDCB1C8" w14:textId="77777777" w:rsidR="00115896" w:rsidRPr="0033291C" w:rsidRDefault="00115896" w:rsidP="00912135">
            <w:pPr>
              <w:jc w:val="both"/>
              <w:rPr>
                <w:sz w:val="20"/>
              </w:rPr>
            </w:pPr>
          </w:p>
        </w:tc>
      </w:tr>
      <w:tr w:rsidR="00115896" w:rsidRPr="0033291C" w14:paraId="57966AEA" w14:textId="77777777" w:rsidTr="00912135">
        <w:tc>
          <w:tcPr>
            <w:tcW w:w="3191" w:type="dxa"/>
            <w:shd w:val="clear" w:color="auto" w:fill="auto"/>
          </w:tcPr>
          <w:p w14:paraId="50DFB30D" w14:textId="77777777" w:rsidR="00115896" w:rsidRPr="0033291C" w:rsidRDefault="00115896" w:rsidP="00912135">
            <w:pPr>
              <w:jc w:val="both"/>
              <w:rPr>
                <w:sz w:val="20"/>
              </w:rPr>
            </w:pPr>
          </w:p>
        </w:tc>
        <w:tc>
          <w:tcPr>
            <w:tcW w:w="3190" w:type="dxa"/>
            <w:shd w:val="clear" w:color="auto" w:fill="auto"/>
          </w:tcPr>
          <w:p w14:paraId="30E4E565" w14:textId="77777777" w:rsidR="00115896" w:rsidRPr="0033291C" w:rsidRDefault="00115896" w:rsidP="00912135">
            <w:pPr>
              <w:jc w:val="both"/>
              <w:rPr>
                <w:sz w:val="20"/>
              </w:rPr>
            </w:pPr>
          </w:p>
        </w:tc>
        <w:tc>
          <w:tcPr>
            <w:tcW w:w="2732" w:type="dxa"/>
            <w:shd w:val="clear" w:color="auto" w:fill="auto"/>
          </w:tcPr>
          <w:p w14:paraId="58412E34" w14:textId="77777777" w:rsidR="00115896" w:rsidRPr="0033291C" w:rsidRDefault="00115896" w:rsidP="00912135">
            <w:pPr>
              <w:jc w:val="both"/>
              <w:rPr>
                <w:sz w:val="20"/>
              </w:rPr>
            </w:pPr>
          </w:p>
        </w:tc>
      </w:tr>
    </w:tbl>
    <w:p w14:paraId="40906DAC" w14:textId="77777777" w:rsidR="00583399" w:rsidRPr="00746E66" w:rsidRDefault="00583399" w:rsidP="00115896">
      <w:pPr>
        <w:ind w:left="340"/>
        <w:jc w:val="both"/>
        <w:rPr>
          <w:sz w:val="20"/>
        </w:rPr>
      </w:pPr>
    </w:p>
    <w:p w14:paraId="7FCC3114" w14:textId="77777777" w:rsidR="00115896" w:rsidRPr="00746E66" w:rsidRDefault="00115896" w:rsidP="00011FFF">
      <w:pPr>
        <w:ind w:firstLine="567"/>
        <w:rPr>
          <w:sz w:val="20"/>
        </w:rPr>
      </w:pPr>
      <w:r w:rsidRPr="00746E66">
        <w:rPr>
          <w:sz w:val="20"/>
        </w:rPr>
        <w:lastRenderedPageBreak/>
        <w:t>СПИСОК ЛИТЕРАТУРЫ</w:t>
      </w:r>
    </w:p>
    <w:p w14:paraId="5783C50D" w14:textId="77777777" w:rsidR="00115896" w:rsidRPr="00746E66" w:rsidRDefault="00115896" w:rsidP="00115896">
      <w:pPr>
        <w:ind w:left="340"/>
        <w:jc w:val="center"/>
        <w:rPr>
          <w:sz w:val="20"/>
        </w:rPr>
      </w:pPr>
    </w:p>
    <w:p w14:paraId="752B5611" w14:textId="77777777" w:rsidR="00583399" w:rsidRPr="00EF27E0" w:rsidRDefault="00583399" w:rsidP="00583399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eastAsia="Calibri"/>
          <w:sz w:val="20"/>
          <w:szCs w:val="24"/>
          <w:lang w:eastAsia="en-US"/>
        </w:rPr>
      </w:pPr>
      <w:r>
        <w:rPr>
          <w:rFonts w:eastAsia="Calibri"/>
          <w:sz w:val="20"/>
          <w:szCs w:val="24"/>
          <w:lang w:eastAsia="en-US"/>
        </w:rPr>
        <w:t xml:space="preserve">1. </w:t>
      </w:r>
      <w:proofErr w:type="spellStart"/>
      <w:r w:rsidRPr="00EF27E0">
        <w:rPr>
          <w:rFonts w:eastAsia="Calibri"/>
          <w:sz w:val="20"/>
          <w:szCs w:val="24"/>
          <w:lang w:eastAsia="en-US"/>
        </w:rPr>
        <w:t>Остриянский</w:t>
      </w:r>
      <w:proofErr w:type="spellEnd"/>
      <w:r w:rsidRPr="00EF27E0">
        <w:rPr>
          <w:rFonts w:eastAsia="Calibri"/>
          <w:sz w:val="20"/>
          <w:szCs w:val="24"/>
          <w:lang w:eastAsia="en-US"/>
        </w:rPr>
        <w:t xml:space="preserve"> Е.А. Аппаратно-программный комплекс для трехмерного </w:t>
      </w:r>
      <w:r w:rsidRPr="00EF27E0">
        <w:rPr>
          <w:rFonts w:eastAsia="Calibri"/>
          <w:spacing w:val="-2"/>
          <w:sz w:val="20"/>
          <w:szCs w:val="24"/>
          <w:lang w:eastAsia="en-US"/>
        </w:rPr>
        <w:t>профилирования донного грунта на базе ЛЧМ-</w:t>
      </w:r>
      <w:proofErr w:type="spellStart"/>
      <w:r w:rsidRPr="00EF27E0">
        <w:rPr>
          <w:rFonts w:eastAsia="Calibri"/>
          <w:spacing w:val="-2"/>
          <w:sz w:val="20"/>
          <w:szCs w:val="24"/>
          <w:lang w:eastAsia="en-US"/>
        </w:rPr>
        <w:t>профилографа</w:t>
      </w:r>
      <w:proofErr w:type="spellEnd"/>
      <w:r w:rsidRPr="00EF27E0">
        <w:rPr>
          <w:rFonts w:eastAsia="Calibri"/>
          <w:spacing w:val="-2"/>
          <w:sz w:val="20"/>
          <w:szCs w:val="24"/>
          <w:lang w:eastAsia="en-US"/>
        </w:rPr>
        <w:t xml:space="preserve"> высокого разрешения // Сб. тр. </w:t>
      </w:r>
      <w:r w:rsidRPr="00EF27E0">
        <w:rPr>
          <w:rFonts w:eastAsia="Calibri"/>
          <w:spacing w:val="-2"/>
          <w:sz w:val="20"/>
          <w:szCs w:val="24"/>
          <w:lang w:val="en-US" w:eastAsia="en-US"/>
        </w:rPr>
        <w:t>XII</w:t>
      </w:r>
      <w:r w:rsidRPr="00EF27E0">
        <w:rPr>
          <w:rFonts w:eastAsia="Calibri"/>
          <w:spacing w:val="-2"/>
          <w:sz w:val="20"/>
          <w:szCs w:val="24"/>
          <w:lang w:eastAsia="en-US"/>
        </w:rPr>
        <w:t xml:space="preserve"> </w:t>
      </w:r>
      <w:proofErr w:type="spellStart"/>
      <w:r w:rsidRPr="00EF27E0">
        <w:rPr>
          <w:rFonts w:eastAsia="Calibri"/>
          <w:spacing w:val="-2"/>
          <w:sz w:val="20"/>
          <w:szCs w:val="24"/>
          <w:lang w:eastAsia="en-US"/>
        </w:rPr>
        <w:t>Междунар</w:t>
      </w:r>
      <w:proofErr w:type="spellEnd"/>
      <w:r w:rsidRPr="00EF27E0">
        <w:rPr>
          <w:rFonts w:eastAsia="Calibri"/>
          <w:spacing w:val="-2"/>
          <w:sz w:val="20"/>
          <w:szCs w:val="24"/>
          <w:lang w:eastAsia="en-US"/>
        </w:rPr>
        <w:t xml:space="preserve">. </w:t>
      </w:r>
      <w:proofErr w:type="spellStart"/>
      <w:r w:rsidRPr="00EF27E0">
        <w:rPr>
          <w:rFonts w:eastAsia="Calibri"/>
          <w:spacing w:val="-2"/>
          <w:sz w:val="20"/>
          <w:szCs w:val="24"/>
          <w:lang w:eastAsia="en-US"/>
        </w:rPr>
        <w:t>конф</w:t>
      </w:r>
      <w:proofErr w:type="spellEnd"/>
      <w:r w:rsidRPr="00EF27E0">
        <w:rPr>
          <w:rFonts w:eastAsia="Calibri"/>
          <w:spacing w:val="-2"/>
          <w:sz w:val="20"/>
          <w:szCs w:val="24"/>
          <w:lang w:eastAsia="en-US"/>
        </w:rPr>
        <w:t>. «Прикладные технологии гидроакустики и гидрофизики». СПб</w:t>
      </w:r>
      <w:proofErr w:type="gramStart"/>
      <w:r w:rsidRPr="00EF27E0">
        <w:rPr>
          <w:rFonts w:eastAsia="Calibri"/>
          <w:spacing w:val="-2"/>
          <w:sz w:val="20"/>
          <w:szCs w:val="24"/>
          <w:lang w:eastAsia="en-US"/>
        </w:rPr>
        <w:t>. :</w:t>
      </w:r>
      <w:proofErr w:type="gramEnd"/>
      <w:r w:rsidRPr="00EF27E0">
        <w:rPr>
          <w:rFonts w:eastAsia="Calibri"/>
          <w:sz w:val="20"/>
          <w:szCs w:val="24"/>
          <w:lang w:eastAsia="en-US"/>
        </w:rPr>
        <w:t xml:space="preserve"> Наука, 2008. С. 56–67. </w:t>
      </w:r>
    </w:p>
    <w:p w14:paraId="1A91BBEB" w14:textId="77777777" w:rsidR="00583399" w:rsidRPr="00EF27E0" w:rsidRDefault="00583399" w:rsidP="00583399">
      <w:pPr>
        <w:widowControl/>
        <w:overflowPunct/>
        <w:autoSpaceDE/>
        <w:autoSpaceDN/>
        <w:adjustRightInd/>
        <w:ind w:firstLine="567"/>
        <w:contextualSpacing/>
        <w:jc w:val="both"/>
        <w:textAlignment w:val="auto"/>
        <w:rPr>
          <w:rFonts w:eastAsia="Calibri"/>
          <w:sz w:val="20"/>
          <w:szCs w:val="24"/>
          <w:lang w:eastAsia="en-US"/>
        </w:rPr>
      </w:pPr>
      <w:r>
        <w:rPr>
          <w:rFonts w:eastAsia="Calibri"/>
          <w:sz w:val="20"/>
          <w:szCs w:val="24"/>
          <w:lang w:eastAsia="en-US"/>
        </w:rPr>
        <w:t xml:space="preserve">2. </w:t>
      </w:r>
      <w:r w:rsidRPr="00EF27E0">
        <w:rPr>
          <w:rFonts w:eastAsia="Calibri"/>
          <w:sz w:val="20"/>
          <w:szCs w:val="24"/>
          <w:lang w:eastAsia="en-US"/>
        </w:rPr>
        <w:t xml:space="preserve">Горелов А.А., Маляров К.В., </w:t>
      </w:r>
      <w:proofErr w:type="spellStart"/>
      <w:r w:rsidRPr="00EF27E0">
        <w:rPr>
          <w:rFonts w:eastAsia="Calibri"/>
          <w:sz w:val="20"/>
          <w:szCs w:val="24"/>
          <w:lang w:eastAsia="en-US"/>
        </w:rPr>
        <w:t>Смарышев</w:t>
      </w:r>
      <w:proofErr w:type="spellEnd"/>
      <w:r w:rsidRPr="00EF27E0">
        <w:rPr>
          <w:rFonts w:eastAsia="Calibri"/>
          <w:sz w:val="20"/>
          <w:szCs w:val="24"/>
          <w:lang w:eastAsia="en-US"/>
        </w:rPr>
        <w:t xml:space="preserve"> М.Д. Помехоустойчивость билинейной гидроакустической антенны в дальнем анизотропном поле помех // Гидроакустика. 2012. </w:t>
      </w:r>
      <w:proofErr w:type="spellStart"/>
      <w:r w:rsidRPr="00EF27E0">
        <w:rPr>
          <w:rFonts w:eastAsia="Calibri"/>
          <w:sz w:val="20"/>
          <w:szCs w:val="24"/>
          <w:lang w:eastAsia="en-US"/>
        </w:rPr>
        <w:t>Вып</w:t>
      </w:r>
      <w:proofErr w:type="spellEnd"/>
      <w:r w:rsidRPr="00EF27E0">
        <w:rPr>
          <w:rFonts w:eastAsia="Calibri"/>
          <w:sz w:val="20"/>
          <w:szCs w:val="24"/>
          <w:lang w:eastAsia="en-US"/>
        </w:rPr>
        <w:t>. 16 (2). С. 16–21.</w:t>
      </w:r>
    </w:p>
    <w:p w14:paraId="63E2F605" w14:textId="77777777" w:rsidR="00583399" w:rsidRPr="00EF27E0" w:rsidRDefault="00583399" w:rsidP="00583399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eastAsia="Calibri"/>
          <w:sz w:val="20"/>
          <w:szCs w:val="24"/>
          <w:lang w:eastAsia="en-US"/>
        </w:rPr>
      </w:pPr>
      <w:r>
        <w:rPr>
          <w:rFonts w:eastAsia="Calibri"/>
          <w:sz w:val="20"/>
          <w:szCs w:val="24"/>
          <w:lang w:eastAsia="en-US"/>
        </w:rPr>
        <w:t xml:space="preserve">3. </w:t>
      </w:r>
      <w:r w:rsidRPr="00EF27E0">
        <w:rPr>
          <w:rFonts w:eastAsia="Calibri"/>
          <w:sz w:val="20"/>
          <w:szCs w:val="24"/>
          <w:lang w:eastAsia="en-US"/>
        </w:rPr>
        <w:t xml:space="preserve">Гамильтон Э.Л. Геоакустические модели морского дна // Акустика морских осадков / под ред. Л. Хэмптона. </w:t>
      </w:r>
      <w:proofErr w:type="gramStart"/>
      <w:r w:rsidRPr="00EF27E0">
        <w:rPr>
          <w:rFonts w:eastAsia="Calibri"/>
          <w:sz w:val="20"/>
          <w:szCs w:val="24"/>
          <w:lang w:eastAsia="en-US"/>
        </w:rPr>
        <w:t>М. :</w:t>
      </w:r>
      <w:proofErr w:type="gramEnd"/>
      <w:r w:rsidRPr="00EF27E0">
        <w:rPr>
          <w:rFonts w:eastAsia="Calibri"/>
          <w:sz w:val="20"/>
          <w:szCs w:val="24"/>
          <w:lang w:eastAsia="en-US"/>
        </w:rPr>
        <w:t xml:space="preserve"> Мир, 1977. С. 176–210.</w:t>
      </w:r>
    </w:p>
    <w:p w14:paraId="1504FAE1" w14:textId="77777777" w:rsidR="00583399" w:rsidRPr="00EF27E0" w:rsidRDefault="00583399" w:rsidP="00583399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eastAsia="Calibri"/>
          <w:sz w:val="20"/>
          <w:szCs w:val="24"/>
          <w:lang w:eastAsia="en-US"/>
        </w:rPr>
      </w:pPr>
      <w:r>
        <w:rPr>
          <w:rFonts w:eastAsia="Calibri"/>
          <w:sz w:val="20"/>
          <w:szCs w:val="24"/>
          <w:lang w:eastAsia="en-US"/>
        </w:rPr>
        <w:t xml:space="preserve">4. </w:t>
      </w:r>
      <w:proofErr w:type="spellStart"/>
      <w:r w:rsidRPr="00EF27E0">
        <w:rPr>
          <w:rFonts w:eastAsia="Calibri"/>
          <w:sz w:val="20"/>
          <w:szCs w:val="24"/>
          <w:lang w:eastAsia="en-US"/>
        </w:rPr>
        <w:t>Барник</w:t>
      </w:r>
      <w:proofErr w:type="spellEnd"/>
      <w:r w:rsidRPr="00EF27E0">
        <w:rPr>
          <w:rFonts w:eastAsia="Calibri"/>
          <w:sz w:val="20"/>
          <w:szCs w:val="24"/>
          <w:lang w:eastAsia="en-US"/>
        </w:rPr>
        <w:t xml:space="preserve"> В., </w:t>
      </w:r>
      <w:proofErr w:type="spellStart"/>
      <w:r w:rsidRPr="00EF27E0">
        <w:rPr>
          <w:rFonts w:eastAsia="Calibri"/>
          <w:sz w:val="20"/>
          <w:szCs w:val="24"/>
          <w:lang w:eastAsia="en-US"/>
        </w:rPr>
        <w:t>Вендт</w:t>
      </w:r>
      <w:proofErr w:type="spellEnd"/>
      <w:r w:rsidRPr="00EF27E0">
        <w:rPr>
          <w:rFonts w:eastAsia="Calibri"/>
          <w:sz w:val="20"/>
          <w:szCs w:val="24"/>
          <w:lang w:eastAsia="en-US"/>
        </w:rPr>
        <w:t xml:space="preserve"> Г., </w:t>
      </w:r>
      <w:proofErr w:type="spellStart"/>
      <w:r w:rsidRPr="00EF27E0">
        <w:rPr>
          <w:rFonts w:eastAsia="Calibri"/>
          <w:sz w:val="20"/>
          <w:szCs w:val="24"/>
          <w:lang w:eastAsia="en-US"/>
        </w:rPr>
        <w:t>Каблов</w:t>
      </w:r>
      <w:proofErr w:type="spellEnd"/>
      <w:r w:rsidRPr="00EF27E0">
        <w:rPr>
          <w:rFonts w:eastAsia="Calibri"/>
          <w:sz w:val="20"/>
          <w:szCs w:val="24"/>
          <w:lang w:eastAsia="en-US"/>
        </w:rPr>
        <w:t xml:space="preserve"> Г.П., Яковлев А.Н. Гидролокационные системы вертикального зондирования дна. </w:t>
      </w:r>
      <w:proofErr w:type="gramStart"/>
      <w:r w:rsidRPr="00EF27E0">
        <w:rPr>
          <w:rFonts w:eastAsia="Calibri"/>
          <w:sz w:val="20"/>
          <w:szCs w:val="24"/>
          <w:lang w:eastAsia="en-US"/>
        </w:rPr>
        <w:t>Новосибирск :</w:t>
      </w:r>
      <w:proofErr w:type="gramEnd"/>
      <w:r w:rsidRPr="00EF27E0">
        <w:rPr>
          <w:rFonts w:eastAsia="Calibri"/>
          <w:sz w:val="20"/>
          <w:szCs w:val="24"/>
          <w:lang w:eastAsia="en-US"/>
        </w:rPr>
        <w:t xml:space="preserve"> Изд-во </w:t>
      </w:r>
      <w:proofErr w:type="spellStart"/>
      <w:r w:rsidRPr="00EF27E0">
        <w:rPr>
          <w:rFonts w:eastAsia="Calibri"/>
          <w:sz w:val="20"/>
          <w:szCs w:val="24"/>
          <w:lang w:eastAsia="en-US"/>
        </w:rPr>
        <w:t>Новосиб</w:t>
      </w:r>
      <w:proofErr w:type="spellEnd"/>
      <w:r w:rsidRPr="00EF27E0">
        <w:rPr>
          <w:rFonts w:eastAsia="Calibri"/>
          <w:sz w:val="20"/>
          <w:szCs w:val="24"/>
          <w:lang w:eastAsia="en-US"/>
        </w:rPr>
        <w:t>. гос. ун-та, 1992. 146 с.</w:t>
      </w:r>
    </w:p>
    <w:p w14:paraId="7B195424" w14:textId="77777777" w:rsidR="00583399" w:rsidRPr="00EF27E0" w:rsidRDefault="00583399" w:rsidP="00583399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sz w:val="20"/>
          <w:szCs w:val="24"/>
        </w:rPr>
      </w:pPr>
      <w:r>
        <w:rPr>
          <w:sz w:val="20"/>
          <w:szCs w:val="24"/>
        </w:rPr>
        <w:t xml:space="preserve">5. </w:t>
      </w:r>
      <w:r w:rsidRPr="00EF27E0">
        <w:rPr>
          <w:sz w:val="20"/>
          <w:szCs w:val="24"/>
        </w:rPr>
        <w:t xml:space="preserve">Буланов В.А., </w:t>
      </w:r>
      <w:proofErr w:type="spellStart"/>
      <w:r w:rsidRPr="00EF27E0">
        <w:rPr>
          <w:sz w:val="20"/>
          <w:szCs w:val="24"/>
        </w:rPr>
        <w:t>Полоничко</w:t>
      </w:r>
      <w:proofErr w:type="spellEnd"/>
      <w:r w:rsidRPr="00EF27E0">
        <w:rPr>
          <w:sz w:val="20"/>
          <w:szCs w:val="24"/>
        </w:rPr>
        <w:t xml:space="preserve"> В.Д. Эффективность параметрического взаимодействия акустических волн в приповерхностном слое моря, содержащем газовые пузырьки. Препринт № 166 ДВО АН СССР. Владивосток, 1980.</w:t>
      </w:r>
    </w:p>
    <w:p w14:paraId="15BDD115" w14:textId="77777777" w:rsidR="00583399" w:rsidRPr="00EF27E0" w:rsidRDefault="00583399" w:rsidP="00583399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eastAsia="Calibri"/>
          <w:sz w:val="20"/>
          <w:szCs w:val="24"/>
          <w:lang w:eastAsia="en-US"/>
        </w:rPr>
      </w:pPr>
      <w:r>
        <w:rPr>
          <w:rFonts w:eastAsia="Calibri"/>
          <w:sz w:val="20"/>
          <w:szCs w:val="24"/>
          <w:lang w:eastAsia="en-US"/>
        </w:rPr>
        <w:t xml:space="preserve">6. </w:t>
      </w:r>
      <w:r w:rsidRPr="00EF27E0">
        <w:rPr>
          <w:rFonts w:eastAsia="Calibri"/>
          <w:sz w:val="20"/>
          <w:szCs w:val="24"/>
          <w:lang w:eastAsia="en-US"/>
        </w:rPr>
        <w:t xml:space="preserve">Борисов С.А. Гидроакустические параметрические и электретные антенны в решении задач дистанционного зондирования поля скорости звука в </w:t>
      </w:r>
      <w:proofErr w:type="gramStart"/>
      <w:r w:rsidRPr="00EF27E0">
        <w:rPr>
          <w:rFonts w:eastAsia="Calibri"/>
          <w:sz w:val="20"/>
          <w:szCs w:val="24"/>
          <w:lang w:eastAsia="en-US"/>
        </w:rPr>
        <w:t>океане :</w:t>
      </w:r>
      <w:proofErr w:type="gramEnd"/>
      <w:r w:rsidRPr="00EF27E0">
        <w:rPr>
          <w:rFonts w:eastAsia="Calibri"/>
          <w:sz w:val="20"/>
          <w:szCs w:val="24"/>
          <w:lang w:eastAsia="en-US"/>
        </w:rPr>
        <w:t xml:space="preserve"> </w:t>
      </w:r>
      <w:proofErr w:type="spellStart"/>
      <w:r w:rsidRPr="00EF27E0">
        <w:rPr>
          <w:rFonts w:eastAsia="Calibri"/>
          <w:sz w:val="20"/>
          <w:szCs w:val="24"/>
          <w:lang w:eastAsia="en-US"/>
        </w:rPr>
        <w:t>автореф</w:t>
      </w:r>
      <w:proofErr w:type="spellEnd"/>
      <w:r w:rsidRPr="00EF27E0">
        <w:rPr>
          <w:rFonts w:eastAsia="Calibri"/>
          <w:sz w:val="20"/>
          <w:szCs w:val="24"/>
          <w:lang w:eastAsia="en-US"/>
        </w:rPr>
        <w:t xml:space="preserve">. </w:t>
      </w:r>
      <w:proofErr w:type="spellStart"/>
      <w:r w:rsidRPr="00EF27E0">
        <w:rPr>
          <w:rFonts w:eastAsia="Calibri"/>
          <w:sz w:val="20"/>
          <w:szCs w:val="24"/>
          <w:lang w:eastAsia="en-US"/>
        </w:rPr>
        <w:t>дис</w:t>
      </w:r>
      <w:proofErr w:type="spellEnd"/>
      <w:r w:rsidRPr="00EF27E0">
        <w:rPr>
          <w:rFonts w:eastAsia="Calibri"/>
          <w:sz w:val="20"/>
          <w:szCs w:val="24"/>
          <w:lang w:eastAsia="en-US"/>
        </w:rPr>
        <w:t xml:space="preserve">. … д-ра техн. наук. </w:t>
      </w:r>
      <w:proofErr w:type="gramStart"/>
      <w:r w:rsidRPr="00EF27E0">
        <w:rPr>
          <w:rFonts w:eastAsia="Calibri"/>
          <w:sz w:val="20"/>
          <w:szCs w:val="24"/>
          <w:lang w:eastAsia="en-US"/>
        </w:rPr>
        <w:t>Таганрог :</w:t>
      </w:r>
      <w:proofErr w:type="gramEnd"/>
      <w:r w:rsidRPr="00EF27E0">
        <w:rPr>
          <w:rFonts w:eastAsia="Calibri"/>
          <w:sz w:val="20"/>
          <w:szCs w:val="24"/>
          <w:lang w:eastAsia="en-US"/>
        </w:rPr>
        <w:t xml:space="preserve"> ТРТУ, 2001.</w:t>
      </w:r>
    </w:p>
    <w:p w14:paraId="2E0ACA9A" w14:textId="77777777" w:rsidR="00583399" w:rsidRPr="00EF27E0" w:rsidRDefault="00583399" w:rsidP="00583399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eastAsia="Calibri"/>
          <w:sz w:val="20"/>
          <w:szCs w:val="24"/>
          <w:lang w:eastAsia="en-US"/>
        </w:rPr>
      </w:pPr>
      <w:r>
        <w:rPr>
          <w:rFonts w:eastAsia="Calibri"/>
          <w:sz w:val="20"/>
          <w:szCs w:val="24"/>
          <w:lang w:eastAsia="en-US"/>
        </w:rPr>
        <w:t xml:space="preserve">7. </w:t>
      </w:r>
      <w:proofErr w:type="spellStart"/>
      <w:r w:rsidRPr="00EF27E0">
        <w:rPr>
          <w:rFonts w:eastAsia="Calibri"/>
          <w:sz w:val="20"/>
          <w:szCs w:val="24"/>
          <w:lang w:eastAsia="en-US"/>
        </w:rPr>
        <w:t>Петеринская</w:t>
      </w:r>
      <w:proofErr w:type="spellEnd"/>
      <w:r w:rsidRPr="00EF27E0">
        <w:rPr>
          <w:rFonts w:eastAsia="Calibri"/>
          <w:sz w:val="20"/>
          <w:szCs w:val="24"/>
          <w:lang w:eastAsia="en-US"/>
        </w:rPr>
        <w:t xml:space="preserve"> Е.В. Исследование формы плуга при работе на </w:t>
      </w:r>
      <w:proofErr w:type="gramStart"/>
      <w:r w:rsidRPr="00EF27E0">
        <w:rPr>
          <w:rFonts w:eastAsia="Calibri"/>
          <w:sz w:val="20"/>
          <w:szCs w:val="24"/>
          <w:lang w:eastAsia="en-US"/>
        </w:rPr>
        <w:t>суглинках :</w:t>
      </w:r>
      <w:proofErr w:type="gramEnd"/>
      <w:r w:rsidRPr="00EF27E0">
        <w:rPr>
          <w:rFonts w:eastAsia="Calibri"/>
          <w:sz w:val="20"/>
          <w:szCs w:val="24"/>
          <w:lang w:eastAsia="en-US"/>
        </w:rPr>
        <w:t xml:space="preserve"> </w:t>
      </w:r>
      <w:proofErr w:type="spellStart"/>
      <w:r w:rsidRPr="00EF27E0">
        <w:rPr>
          <w:rFonts w:eastAsia="Calibri"/>
          <w:sz w:val="20"/>
          <w:szCs w:val="24"/>
          <w:lang w:eastAsia="en-US"/>
        </w:rPr>
        <w:t>дис</w:t>
      </w:r>
      <w:proofErr w:type="spellEnd"/>
      <w:r w:rsidRPr="00EF27E0">
        <w:rPr>
          <w:rFonts w:eastAsia="Calibri"/>
          <w:sz w:val="20"/>
          <w:szCs w:val="24"/>
          <w:lang w:eastAsia="en-US"/>
        </w:rPr>
        <w:t xml:space="preserve">. … канд. с.-х. наук. </w:t>
      </w:r>
      <w:proofErr w:type="gramStart"/>
      <w:r w:rsidRPr="00EF27E0">
        <w:rPr>
          <w:rFonts w:eastAsia="Calibri"/>
          <w:sz w:val="20"/>
          <w:szCs w:val="24"/>
          <w:lang w:eastAsia="en-US"/>
        </w:rPr>
        <w:t>М. :</w:t>
      </w:r>
      <w:proofErr w:type="gramEnd"/>
      <w:r w:rsidRPr="00EF27E0">
        <w:rPr>
          <w:rFonts w:eastAsia="Calibri"/>
          <w:sz w:val="20"/>
          <w:szCs w:val="24"/>
          <w:lang w:eastAsia="en-US"/>
        </w:rPr>
        <w:t xml:space="preserve"> Ин-т почвоведения Рос. академии </w:t>
      </w:r>
      <w:proofErr w:type="spellStart"/>
      <w:r w:rsidRPr="00EF27E0">
        <w:rPr>
          <w:rFonts w:eastAsia="Calibri"/>
          <w:sz w:val="20"/>
          <w:szCs w:val="24"/>
          <w:lang w:eastAsia="en-US"/>
        </w:rPr>
        <w:t>сельскохоз</w:t>
      </w:r>
      <w:proofErr w:type="spellEnd"/>
      <w:r w:rsidRPr="00EF27E0">
        <w:rPr>
          <w:rFonts w:eastAsia="Calibri"/>
          <w:sz w:val="20"/>
          <w:szCs w:val="24"/>
          <w:lang w:eastAsia="en-US"/>
        </w:rPr>
        <w:t>. наук, 1998.</w:t>
      </w:r>
    </w:p>
    <w:p w14:paraId="6F0B43B8" w14:textId="77777777" w:rsidR="00583399" w:rsidRPr="00EF27E0" w:rsidRDefault="00583399" w:rsidP="00583399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eastAsia="Calibri"/>
          <w:sz w:val="20"/>
          <w:szCs w:val="24"/>
          <w:lang w:eastAsia="en-US"/>
        </w:rPr>
      </w:pPr>
      <w:r>
        <w:rPr>
          <w:rFonts w:eastAsia="Calibri"/>
          <w:sz w:val="20"/>
          <w:szCs w:val="24"/>
          <w:lang w:eastAsia="en-US"/>
        </w:rPr>
        <w:t xml:space="preserve">8. </w:t>
      </w:r>
      <w:r w:rsidRPr="00EF27E0">
        <w:rPr>
          <w:rFonts w:eastAsia="Calibri"/>
          <w:sz w:val="20"/>
          <w:szCs w:val="24"/>
          <w:lang w:eastAsia="en-US"/>
        </w:rPr>
        <w:t xml:space="preserve">Патент РФ № 2715431, МПК </w:t>
      </w:r>
      <w:r w:rsidRPr="00EF27E0">
        <w:rPr>
          <w:rFonts w:eastAsia="Calibri"/>
          <w:sz w:val="20"/>
          <w:szCs w:val="24"/>
          <w:lang w:val="en-US" w:eastAsia="en-US"/>
        </w:rPr>
        <w:t>G</w:t>
      </w:r>
      <w:r w:rsidRPr="00EF27E0">
        <w:rPr>
          <w:rFonts w:eastAsia="Calibri"/>
          <w:sz w:val="20"/>
          <w:szCs w:val="24"/>
          <w:lang w:eastAsia="en-US"/>
        </w:rPr>
        <w:t>01</w:t>
      </w:r>
      <w:r w:rsidRPr="00EF27E0">
        <w:rPr>
          <w:rFonts w:eastAsia="Calibri"/>
          <w:sz w:val="20"/>
          <w:szCs w:val="24"/>
          <w:lang w:val="en-US" w:eastAsia="en-US"/>
        </w:rPr>
        <w:t>S</w:t>
      </w:r>
      <w:r w:rsidRPr="00EF27E0">
        <w:rPr>
          <w:rFonts w:eastAsia="Calibri"/>
          <w:sz w:val="20"/>
          <w:szCs w:val="24"/>
          <w:lang w:eastAsia="en-US"/>
        </w:rPr>
        <w:t xml:space="preserve"> 3/80. Способ обнаружения подводного источника широкополосного шума / Матвиенко Ю.В., Хворостов Ю.А., </w:t>
      </w:r>
      <w:proofErr w:type="spellStart"/>
      <w:r w:rsidRPr="00EF27E0">
        <w:rPr>
          <w:rFonts w:eastAsia="Calibri"/>
          <w:sz w:val="20"/>
          <w:szCs w:val="24"/>
          <w:lang w:eastAsia="en-US"/>
        </w:rPr>
        <w:t>Каморный</w:t>
      </w:r>
      <w:proofErr w:type="spellEnd"/>
      <w:r w:rsidRPr="00EF27E0">
        <w:rPr>
          <w:rFonts w:eastAsia="Calibri"/>
          <w:sz w:val="20"/>
          <w:szCs w:val="24"/>
          <w:lang w:eastAsia="en-US"/>
        </w:rPr>
        <w:t xml:space="preserve"> А.В. </w:t>
      </w:r>
      <w:proofErr w:type="spellStart"/>
      <w:r w:rsidRPr="00EF27E0">
        <w:rPr>
          <w:rFonts w:eastAsia="Calibri"/>
          <w:sz w:val="20"/>
          <w:szCs w:val="24"/>
          <w:lang w:eastAsia="en-US"/>
        </w:rPr>
        <w:t>Заявл</w:t>
      </w:r>
      <w:proofErr w:type="spellEnd"/>
      <w:r w:rsidRPr="00EF27E0">
        <w:rPr>
          <w:rFonts w:eastAsia="Calibri"/>
          <w:sz w:val="20"/>
          <w:szCs w:val="24"/>
          <w:lang w:eastAsia="en-US"/>
        </w:rPr>
        <w:t xml:space="preserve">. </w:t>
      </w:r>
      <w:proofErr w:type="gramStart"/>
      <w:r w:rsidRPr="00EF27E0">
        <w:rPr>
          <w:rFonts w:eastAsia="Calibri"/>
          <w:sz w:val="20"/>
          <w:szCs w:val="24"/>
          <w:lang w:eastAsia="en-US"/>
        </w:rPr>
        <w:t>03.07.2019 ;</w:t>
      </w:r>
      <w:proofErr w:type="gramEnd"/>
      <w:r w:rsidRPr="00EF27E0">
        <w:rPr>
          <w:rFonts w:eastAsia="Calibri"/>
          <w:sz w:val="20"/>
          <w:szCs w:val="24"/>
          <w:lang w:eastAsia="en-US"/>
        </w:rPr>
        <w:t xml:space="preserve"> опубл. 28.02.2020.</w:t>
      </w:r>
    </w:p>
    <w:p w14:paraId="1E31D884" w14:textId="77777777" w:rsidR="00583399" w:rsidRPr="00EF27E0" w:rsidRDefault="00583399" w:rsidP="00583399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eastAsia="Calibri"/>
          <w:sz w:val="20"/>
          <w:szCs w:val="24"/>
          <w:lang w:eastAsia="en-US"/>
        </w:rPr>
      </w:pPr>
      <w:r>
        <w:rPr>
          <w:rFonts w:eastAsia="Calibri"/>
          <w:sz w:val="20"/>
          <w:szCs w:val="24"/>
          <w:lang w:eastAsia="en-US"/>
        </w:rPr>
        <w:t xml:space="preserve">9. </w:t>
      </w:r>
      <w:proofErr w:type="spellStart"/>
      <w:r w:rsidRPr="00EF27E0">
        <w:rPr>
          <w:rFonts w:eastAsia="Calibri"/>
          <w:sz w:val="20"/>
          <w:szCs w:val="24"/>
          <w:lang w:eastAsia="en-US"/>
        </w:rPr>
        <w:t>Свид</w:t>
      </w:r>
      <w:proofErr w:type="spellEnd"/>
      <w:r w:rsidRPr="00EF27E0">
        <w:rPr>
          <w:rFonts w:eastAsia="Calibri"/>
          <w:sz w:val="20"/>
          <w:szCs w:val="24"/>
          <w:lang w:eastAsia="en-US"/>
        </w:rPr>
        <w:t>-во гос. регистрации программы для ЭВМ № 2022211066. Программа распознавания морских объектов гидроакустическими средствами / Неелов С.С., Беляков И.И., Степченко К.Т. [и др.</w:t>
      </w:r>
      <w:proofErr w:type="gramStart"/>
      <w:r w:rsidRPr="00EF27E0">
        <w:rPr>
          <w:rFonts w:eastAsia="Calibri"/>
          <w:sz w:val="20"/>
          <w:szCs w:val="24"/>
          <w:lang w:eastAsia="en-US"/>
        </w:rPr>
        <w:t>] ;</w:t>
      </w:r>
      <w:proofErr w:type="gramEnd"/>
      <w:r w:rsidRPr="00EF27E0">
        <w:rPr>
          <w:rFonts w:eastAsia="Calibri"/>
          <w:sz w:val="20"/>
          <w:szCs w:val="24"/>
          <w:lang w:eastAsia="en-US"/>
        </w:rPr>
        <w:t xml:space="preserve"> правообладатель Ин-т </w:t>
      </w:r>
      <w:proofErr w:type="spellStart"/>
      <w:r w:rsidRPr="00EF27E0">
        <w:rPr>
          <w:rFonts w:eastAsia="Calibri"/>
          <w:sz w:val="20"/>
          <w:szCs w:val="24"/>
          <w:lang w:eastAsia="en-US"/>
        </w:rPr>
        <w:t>прикл</w:t>
      </w:r>
      <w:proofErr w:type="spellEnd"/>
      <w:r w:rsidRPr="00EF27E0">
        <w:rPr>
          <w:rFonts w:eastAsia="Calibri"/>
          <w:sz w:val="20"/>
          <w:szCs w:val="24"/>
          <w:lang w:eastAsia="en-US"/>
        </w:rPr>
        <w:t xml:space="preserve">. физики РАН. </w:t>
      </w:r>
      <w:proofErr w:type="spellStart"/>
      <w:r w:rsidRPr="00EF27E0">
        <w:rPr>
          <w:rFonts w:eastAsia="Calibri"/>
          <w:sz w:val="20"/>
          <w:szCs w:val="24"/>
          <w:lang w:eastAsia="en-US"/>
        </w:rPr>
        <w:t>Публ</w:t>
      </w:r>
      <w:proofErr w:type="spellEnd"/>
      <w:r w:rsidRPr="00EF27E0">
        <w:rPr>
          <w:rFonts w:eastAsia="Calibri"/>
          <w:sz w:val="20"/>
          <w:szCs w:val="24"/>
          <w:lang w:eastAsia="en-US"/>
        </w:rPr>
        <w:t>. 27.06.2020.</w:t>
      </w:r>
    </w:p>
    <w:p w14:paraId="794BFE5D" w14:textId="77777777" w:rsidR="00583399" w:rsidRPr="00EF27E0" w:rsidRDefault="00583399" w:rsidP="00583399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eastAsia="Calibri"/>
          <w:b/>
          <w:color w:val="FF0000"/>
          <w:sz w:val="20"/>
          <w:szCs w:val="24"/>
          <w:lang w:eastAsia="en-US"/>
        </w:rPr>
      </w:pPr>
      <w:r>
        <w:rPr>
          <w:rFonts w:eastAsia="Calibri"/>
          <w:sz w:val="20"/>
          <w:szCs w:val="24"/>
          <w:lang w:eastAsia="en-US"/>
        </w:rPr>
        <w:t xml:space="preserve">10. </w:t>
      </w:r>
      <w:r w:rsidRPr="00EF27E0">
        <w:rPr>
          <w:rFonts w:eastAsia="Calibri"/>
          <w:sz w:val="20"/>
          <w:szCs w:val="24"/>
          <w:lang w:eastAsia="en-US"/>
        </w:rPr>
        <w:t xml:space="preserve">Комплекс работ «Гидролокация-2». </w:t>
      </w:r>
      <w:r w:rsidRPr="00EF27E0">
        <w:rPr>
          <w:rFonts w:eastAsia="Calibri"/>
          <w:sz w:val="20"/>
          <w:szCs w:val="24"/>
          <w:lang w:val="en-US" w:eastAsia="en-US"/>
        </w:rPr>
        <w:t>URL</w:t>
      </w:r>
      <w:r w:rsidRPr="00EF27E0">
        <w:rPr>
          <w:rFonts w:eastAsia="Calibri"/>
          <w:sz w:val="20"/>
          <w:szCs w:val="24"/>
          <w:lang w:eastAsia="en-US"/>
        </w:rPr>
        <w:t xml:space="preserve">: </w:t>
      </w:r>
      <w:r w:rsidRPr="00EF27E0">
        <w:rPr>
          <w:rFonts w:eastAsia="Calibri"/>
          <w:sz w:val="20"/>
          <w:szCs w:val="24"/>
          <w:lang w:val="en-US" w:eastAsia="en-US"/>
        </w:rPr>
        <w:t>https</w:t>
      </w:r>
      <w:r w:rsidRPr="00EF27E0">
        <w:rPr>
          <w:rFonts w:eastAsia="Calibri"/>
          <w:sz w:val="20"/>
          <w:szCs w:val="24"/>
          <w:lang w:eastAsia="en-US"/>
        </w:rPr>
        <w:t>://</w:t>
      </w:r>
      <w:r w:rsidRPr="00EF27E0">
        <w:rPr>
          <w:rFonts w:eastAsia="Calibri"/>
          <w:sz w:val="20"/>
          <w:szCs w:val="24"/>
          <w:lang w:val="en-US" w:eastAsia="en-US"/>
        </w:rPr>
        <w:t>www</w:t>
      </w:r>
      <w:r w:rsidRPr="00EF27E0">
        <w:rPr>
          <w:rFonts w:eastAsia="Calibri"/>
          <w:sz w:val="20"/>
          <w:szCs w:val="24"/>
          <w:lang w:eastAsia="en-US"/>
        </w:rPr>
        <w:t>.</w:t>
      </w:r>
      <w:proofErr w:type="spellStart"/>
      <w:r w:rsidRPr="00EF27E0">
        <w:rPr>
          <w:rFonts w:eastAsia="Calibri"/>
          <w:sz w:val="20"/>
          <w:szCs w:val="24"/>
          <w:lang w:val="en-US" w:eastAsia="en-US"/>
        </w:rPr>
        <w:t>rgmt</w:t>
      </w:r>
      <w:proofErr w:type="spellEnd"/>
      <w:r w:rsidRPr="00EF27E0">
        <w:rPr>
          <w:rFonts w:eastAsia="Calibri"/>
          <w:sz w:val="20"/>
          <w:szCs w:val="24"/>
          <w:lang w:eastAsia="en-US"/>
        </w:rPr>
        <w:t>.</w:t>
      </w:r>
      <w:proofErr w:type="spellStart"/>
      <w:r w:rsidRPr="00EF27E0">
        <w:rPr>
          <w:rFonts w:eastAsia="Calibri"/>
          <w:sz w:val="20"/>
          <w:szCs w:val="24"/>
          <w:lang w:val="en-US" w:eastAsia="en-US"/>
        </w:rPr>
        <w:t>spb</w:t>
      </w:r>
      <w:proofErr w:type="spellEnd"/>
      <w:r w:rsidRPr="00EF27E0">
        <w:rPr>
          <w:rFonts w:eastAsia="Calibri"/>
          <w:sz w:val="20"/>
          <w:szCs w:val="24"/>
          <w:lang w:eastAsia="en-US"/>
        </w:rPr>
        <w:t>.</w:t>
      </w:r>
      <w:proofErr w:type="spellStart"/>
      <w:r w:rsidRPr="00EF27E0">
        <w:rPr>
          <w:rFonts w:eastAsia="Calibri"/>
          <w:sz w:val="20"/>
          <w:szCs w:val="24"/>
          <w:lang w:val="en-US" w:eastAsia="en-US"/>
        </w:rPr>
        <w:t>ru</w:t>
      </w:r>
      <w:proofErr w:type="spellEnd"/>
      <w:r w:rsidRPr="00EF27E0">
        <w:rPr>
          <w:rFonts w:eastAsia="Calibri"/>
          <w:sz w:val="20"/>
          <w:szCs w:val="24"/>
          <w:lang w:eastAsia="en-US"/>
        </w:rPr>
        <w:t xml:space="preserve"> (дата обращения: 14.01.2022).</w:t>
      </w:r>
      <w:r w:rsidRPr="00EF27E0">
        <w:rPr>
          <w:rFonts w:eastAsia="Calibri"/>
          <w:b/>
          <w:color w:val="FF0000"/>
          <w:sz w:val="20"/>
          <w:szCs w:val="24"/>
          <w:lang w:eastAsia="en-US"/>
        </w:rPr>
        <w:t xml:space="preserve"> </w:t>
      </w:r>
    </w:p>
    <w:p w14:paraId="736A41C0" w14:textId="77777777" w:rsidR="00583399" w:rsidRPr="00EF27E0" w:rsidRDefault="00583399" w:rsidP="00583399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eastAsia="Calibri"/>
          <w:sz w:val="20"/>
          <w:szCs w:val="24"/>
          <w:lang w:eastAsia="en-US"/>
        </w:rPr>
      </w:pPr>
      <w:r w:rsidRPr="009A3C1E">
        <w:rPr>
          <w:rFonts w:eastAsia="Calibri"/>
          <w:sz w:val="20"/>
          <w:szCs w:val="24"/>
          <w:lang w:val="en-US" w:eastAsia="en-US"/>
        </w:rPr>
        <w:t xml:space="preserve">11. </w:t>
      </w:r>
      <w:r w:rsidRPr="00EF27E0">
        <w:rPr>
          <w:rFonts w:eastAsia="Calibri"/>
          <w:sz w:val="20"/>
          <w:szCs w:val="24"/>
          <w:lang w:val="en-US" w:eastAsia="en-US"/>
        </w:rPr>
        <w:t xml:space="preserve">Ice profiling sonar. </w:t>
      </w:r>
      <w:r w:rsidRPr="00EF27E0">
        <w:rPr>
          <w:rFonts w:eastAsia="Calibri"/>
          <w:sz w:val="20"/>
          <w:szCs w:val="24"/>
          <w:lang w:eastAsia="en-US"/>
        </w:rPr>
        <w:t>Материалы</w:t>
      </w:r>
      <w:r w:rsidRPr="00EF27E0">
        <w:rPr>
          <w:rFonts w:eastAsia="Calibri"/>
          <w:sz w:val="20"/>
          <w:szCs w:val="24"/>
          <w:lang w:val="en-US" w:eastAsia="en-US"/>
        </w:rPr>
        <w:t xml:space="preserve"> </w:t>
      </w:r>
      <w:r w:rsidRPr="00EF27E0">
        <w:rPr>
          <w:rFonts w:eastAsia="Calibri"/>
          <w:sz w:val="20"/>
          <w:szCs w:val="24"/>
          <w:lang w:eastAsia="en-US"/>
        </w:rPr>
        <w:t>фирмы</w:t>
      </w:r>
      <w:r w:rsidRPr="00EF27E0">
        <w:rPr>
          <w:rFonts w:eastAsia="Calibri"/>
          <w:sz w:val="20"/>
          <w:szCs w:val="24"/>
          <w:lang w:val="en-US" w:eastAsia="en-US"/>
        </w:rPr>
        <w:t xml:space="preserve"> ASL Environmental (</w:t>
      </w:r>
      <w:r w:rsidRPr="00EF27E0">
        <w:rPr>
          <w:rFonts w:eastAsia="Calibri"/>
          <w:sz w:val="20"/>
          <w:szCs w:val="24"/>
          <w:lang w:eastAsia="en-US"/>
        </w:rPr>
        <w:t>Канада</w:t>
      </w:r>
      <w:r w:rsidRPr="00EF27E0">
        <w:rPr>
          <w:rFonts w:eastAsia="Calibri"/>
          <w:sz w:val="20"/>
          <w:szCs w:val="24"/>
          <w:lang w:val="en-US" w:eastAsia="en-US"/>
        </w:rPr>
        <w:t>). URL</w:t>
      </w:r>
      <w:r w:rsidRPr="00EF27E0">
        <w:rPr>
          <w:rFonts w:eastAsia="Calibri"/>
          <w:sz w:val="20"/>
          <w:szCs w:val="24"/>
          <w:lang w:eastAsia="en-US"/>
        </w:rPr>
        <w:t>:</w:t>
      </w:r>
      <w:r w:rsidRPr="00EF27E0">
        <w:rPr>
          <w:rFonts w:eastAsia="Calibri"/>
          <w:b/>
          <w:sz w:val="20"/>
          <w:szCs w:val="24"/>
          <w:lang w:eastAsia="en-US"/>
        </w:rPr>
        <w:t xml:space="preserve"> </w:t>
      </w:r>
      <w:r w:rsidRPr="00EF27E0">
        <w:rPr>
          <w:rFonts w:eastAsia="Calibri"/>
          <w:sz w:val="20"/>
          <w:szCs w:val="24"/>
          <w:lang w:val="en-US" w:eastAsia="en-US"/>
        </w:rPr>
        <w:t>https</w:t>
      </w:r>
      <w:r w:rsidRPr="00EF27E0">
        <w:rPr>
          <w:rFonts w:eastAsia="Calibri"/>
          <w:sz w:val="20"/>
          <w:szCs w:val="24"/>
          <w:lang w:eastAsia="en-US"/>
        </w:rPr>
        <w:t>://</w:t>
      </w:r>
      <w:r w:rsidRPr="00EF27E0">
        <w:rPr>
          <w:rFonts w:eastAsia="Calibri"/>
          <w:sz w:val="20"/>
          <w:szCs w:val="24"/>
          <w:lang w:val="en-US" w:eastAsia="en-US"/>
        </w:rPr>
        <w:t>www</w:t>
      </w:r>
      <w:r w:rsidRPr="00EF27E0">
        <w:rPr>
          <w:rFonts w:eastAsia="Calibri"/>
          <w:sz w:val="20"/>
          <w:szCs w:val="24"/>
          <w:lang w:eastAsia="en-US"/>
        </w:rPr>
        <w:t>.</w:t>
      </w:r>
      <w:proofErr w:type="spellStart"/>
      <w:r w:rsidRPr="00EF27E0">
        <w:rPr>
          <w:rFonts w:eastAsia="Calibri"/>
          <w:sz w:val="20"/>
          <w:szCs w:val="24"/>
          <w:lang w:val="en-US" w:eastAsia="en-US"/>
        </w:rPr>
        <w:t>aslenv</w:t>
      </w:r>
      <w:proofErr w:type="spellEnd"/>
      <w:r w:rsidRPr="00EF27E0">
        <w:rPr>
          <w:rFonts w:eastAsia="Calibri"/>
          <w:sz w:val="20"/>
          <w:szCs w:val="24"/>
          <w:lang w:eastAsia="en-US"/>
        </w:rPr>
        <w:t>.</w:t>
      </w:r>
      <w:r w:rsidRPr="00EF27E0">
        <w:rPr>
          <w:rFonts w:eastAsia="Calibri"/>
          <w:sz w:val="20"/>
          <w:szCs w:val="24"/>
          <w:lang w:val="en-US" w:eastAsia="en-US"/>
        </w:rPr>
        <w:t>com</w:t>
      </w:r>
      <w:r w:rsidRPr="00EF27E0">
        <w:rPr>
          <w:rFonts w:eastAsia="Calibri"/>
          <w:sz w:val="20"/>
          <w:szCs w:val="24"/>
          <w:lang w:eastAsia="en-US"/>
        </w:rPr>
        <w:t>/</w:t>
      </w:r>
      <w:proofErr w:type="spellStart"/>
      <w:r w:rsidRPr="00EF27E0">
        <w:rPr>
          <w:rFonts w:eastAsia="Calibri"/>
          <w:sz w:val="20"/>
          <w:szCs w:val="24"/>
          <w:lang w:val="en-US" w:eastAsia="en-US"/>
        </w:rPr>
        <w:t>lps</w:t>
      </w:r>
      <w:proofErr w:type="spellEnd"/>
      <w:r w:rsidRPr="00EF27E0">
        <w:rPr>
          <w:rFonts w:eastAsia="Calibri"/>
          <w:sz w:val="20"/>
          <w:szCs w:val="24"/>
          <w:lang w:eastAsia="en-US"/>
        </w:rPr>
        <w:t>.</w:t>
      </w:r>
      <w:proofErr w:type="spellStart"/>
      <w:r w:rsidRPr="00EF27E0">
        <w:rPr>
          <w:rFonts w:eastAsia="Calibri"/>
          <w:sz w:val="20"/>
          <w:szCs w:val="24"/>
          <w:lang w:val="en-US" w:eastAsia="en-US"/>
        </w:rPr>
        <w:t>htm</w:t>
      </w:r>
      <w:proofErr w:type="spellEnd"/>
      <w:r w:rsidRPr="00EF27E0">
        <w:rPr>
          <w:rFonts w:eastAsia="Calibri"/>
          <w:sz w:val="20"/>
          <w:szCs w:val="24"/>
          <w:lang w:eastAsia="en-US"/>
        </w:rPr>
        <w:t xml:space="preserve"> (дата обращения: 29.02.2019).</w:t>
      </w:r>
      <w:r w:rsidRPr="00EF27E0">
        <w:rPr>
          <w:rFonts w:eastAsia="Calibri"/>
          <w:b/>
          <w:sz w:val="20"/>
          <w:szCs w:val="24"/>
          <w:lang w:eastAsia="en-US"/>
        </w:rPr>
        <w:t xml:space="preserve"> </w:t>
      </w:r>
    </w:p>
    <w:p w14:paraId="4E694847" w14:textId="77777777" w:rsidR="00583399" w:rsidRPr="00EF27E0" w:rsidRDefault="00583399" w:rsidP="00583399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sz w:val="20"/>
          <w:szCs w:val="24"/>
          <w:lang w:val="en-US"/>
        </w:rPr>
      </w:pPr>
      <w:r>
        <w:rPr>
          <w:sz w:val="20"/>
          <w:szCs w:val="24"/>
        </w:rPr>
        <w:t xml:space="preserve">12. </w:t>
      </w:r>
      <w:r w:rsidRPr="00EF27E0">
        <w:rPr>
          <w:sz w:val="20"/>
          <w:szCs w:val="24"/>
        </w:rPr>
        <w:t xml:space="preserve">Авт. </w:t>
      </w:r>
      <w:proofErr w:type="spellStart"/>
      <w:r w:rsidRPr="00EF27E0">
        <w:rPr>
          <w:sz w:val="20"/>
          <w:szCs w:val="24"/>
        </w:rPr>
        <w:t>свид</w:t>
      </w:r>
      <w:proofErr w:type="spellEnd"/>
      <w:r w:rsidRPr="00EF27E0">
        <w:rPr>
          <w:sz w:val="20"/>
          <w:szCs w:val="24"/>
        </w:rPr>
        <w:t xml:space="preserve">. СССР № 188898, МПК </w:t>
      </w:r>
      <w:r w:rsidRPr="00EF27E0">
        <w:rPr>
          <w:sz w:val="20"/>
          <w:szCs w:val="24"/>
          <w:lang w:val="en-US"/>
        </w:rPr>
        <w:t>G</w:t>
      </w:r>
      <w:r w:rsidRPr="00EF27E0">
        <w:rPr>
          <w:sz w:val="20"/>
          <w:szCs w:val="24"/>
        </w:rPr>
        <w:t>01</w:t>
      </w:r>
      <w:r w:rsidRPr="00EF27E0">
        <w:rPr>
          <w:sz w:val="20"/>
          <w:szCs w:val="24"/>
          <w:lang w:val="en-US"/>
        </w:rPr>
        <w:t>S</w:t>
      </w:r>
      <w:r w:rsidRPr="00EF27E0">
        <w:rPr>
          <w:sz w:val="20"/>
          <w:szCs w:val="24"/>
        </w:rPr>
        <w:t xml:space="preserve"> 7/52. Гидроакустическая антенна доплеровского лага / Беляков И.И. Приор. </w:t>
      </w:r>
      <w:r w:rsidRPr="00EF27E0">
        <w:rPr>
          <w:sz w:val="20"/>
          <w:szCs w:val="24"/>
          <w:lang w:val="en-US"/>
        </w:rPr>
        <w:t>24.02.1982.</w:t>
      </w:r>
    </w:p>
    <w:p w14:paraId="3806AA6E" w14:textId="77777777" w:rsidR="00583399" w:rsidRPr="00EF27E0" w:rsidRDefault="00583399" w:rsidP="00583399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eastAsia="Calibri"/>
          <w:sz w:val="20"/>
          <w:szCs w:val="24"/>
          <w:lang w:eastAsia="en-US"/>
        </w:rPr>
      </w:pPr>
      <w:r w:rsidRPr="009A3C1E">
        <w:rPr>
          <w:rFonts w:eastAsia="Calibri"/>
          <w:sz w:val="20"/>
          <w:szCs w:val="24"/>
          <w:lang w:val="en-US" w:eastAsia="en-US"/>
        </w:rPr>
        <w:t xml:space="preserve">13. </w:t>
      </w:r>
      <w:r w:rsidRPr="00EF27E0">
        <w:rPr>
          <w:rFonts w:eastAsia="Calibri"/>
          <w:sz w:val="20"/>
          <w:szCs w:val="24"/>
          <w:lang w:eastAsia="en-US"/>
        </w:rPr>
        <w:t>Патент</w:t>
      </w:r>
      <w:r w:rsidRPr="009A3C1E">
        <w:rPr>
          <w:rFonts w:eastAsia="Calibri"/>
          <w:sz w:val="20"/>
          <w:szCs w:val="24"/>
          <w:lang w:val="en-US" w:eastAsia="en-US"/>
        </w:rPr>
        <w:t xml:space="preserve"> </w:t>
      </w:r>
      <w:r w:rsidRPr="00EF27E0">
        <w:rPr>
          <w:rFonts w:eastAsia="Calibri"/>
          <w:sz w:val="20"/>
          <w:szCs w:val="24"/>
          <w:lang w:eastAsia="en-US"/>
        </w:rPr>
        <w:t>США</w:t>
      </w:r>
      <w:r w:rsidRPr="009A3C1E">
        <w:rPr>
          <w:rFonts w:eastAsia="Calibri"/>
          <w:sz w:val="20"/>
          <w:szCs w:val="24"/>
          <w:lang w:val="en-US" w:eastAsia="en-US"/>
        </w:rPr>
        <w:t xml:space="preserve"> № 4697254, </w:t>
      </w:r>
      <w:r w:rsidRPr="00EF27E0">
        <w:rPr>
          <w:rFonts w:eastAsia="Calibri"/>
          <w:sz w:val="20"/>
          <w:szCs w:val="24"/>
          <w:lang w:eastAsia="en-US"/>
        </w:rPr>
        <w:t>МПК</w:t>
      </w:r>
      <w:r w:rsidRPr="009A3C1E">
        <w:rPr>
          <w:rFonts w:eastAsia="Calibri"/>
          <w:sz w:val="20"/>
          <w:szCs w:val="24"/>
          <w:lang w:val="en-US" w:eastAsia="en-US"/>
        </w:rPr>
        <w:t xml:space="preserve"> </w:t>
      </w:r>
      <w:r w:rsidRPr="00EF27E0">
        <w:rPr>
          <w:rFonts w:eastAsia="Calibri"/>
          <w:sz w:val="20"/>
          <w:szCs w:val="24"/>
          <w:lang w:val="en-US" w:eastAsia="en-US"/>
        </w:rPr>
        <w:t>G</w:t>
      </w:r>
      <w:r w:rsidRPr="009A3C1E">
        <w:rPr>
          <w:rFonts w:eastAsia="Calibri"/>
          <w:sz w:val="20"/>
          <w:szCs w:val="24"/>
          <w:lang w:val="en-US" w:eastAsia="en-US"/>
        </w:rPr>
        <w:t>01</w:t>
      </w:r>
      <w:r w:rsidRPr="00EF27E0">
        <w:rPr>
          <w:rFonts w:eastAsia="Calibri"/>
          <w:sz w:val="20"/>
          <w:szCs w:val="24"/>
          <w:lang w:eastAsia="en-US"/>
        </w:rPr>
        <w:t>В</w:t>
      </w:r>
      <w:r w:rsidRPr="009A3C1E">
        <w:rPr>
          <w:rFonts w:eastAsia="Calibri"/>
          <w:sz w:val="20"/>
          <w:szCs w:val="24"/>
          <w:lang w:val="en-US" w:eastAsia="en-US"/>
        </w:rPr>
        <w:t xml:space="preserve">17/00, </w:t>
      </w:r>
      <w:r w:rsidRPr="00EF27E0">
        <w:rPr>
          <w:rFonts w:eastAsia="Calibri"/>
          <w:sz w:val="20"/>
          <w:szCs w:val="24"/>
          <w:lang w:val="en-US" w:eastAsia="en-US"/>
        </w:rPr>
        <w:t>G</w:t>
      </w:r>
      <w:r w:rsidRPr="009A3C1E">
        <w:rPr>
          <w:rFonts w:eastAsia="Calibri"/>
          <w:sz w:val="20"/>
          <w:szCs w:val="24"/>
          <w:lang w:val="en-US" w:eastAsia="en-US"/>
        </w:rPr>
        <w:t>01</w:t>
      </w:r>
      <w:r w:rsidRPr="00EF27E0">
        <w:rPr>
          <w:rFonts w:eastAsia="Calibri"/>
          <w:sz w:val="20"/>
          <w:szCs w:val="24"/>
          <w:lang w:val="en-US" w:eastAsia="en-US"/>
        </w:rPr>
        <w:t>S</w:t>
      </w:r>
      <w:r w:rsidRPr="009A3C1E">
        <w:rPr>
          <w:rFonts w:eastAsia="Calibri"/>
          <w:sz w:val="20"/>
          <w:szCs w:val="24"/>
          <w:lang w:val="en-US" w:eastAsia="en-US"/>
        </w:rPr>
        <w:t xml:space="preserve">15/08. </w:t>
      </w:r>
      <w:r w:rsidRPr="00EF27E0">
        <w:rPr>
          <w:rFonts w:eastAsia="Calibri"/>
          <w:sz w:val="20"/>
          <w:szCs w:val="24"/>
          <w:lang w:val="en-US" w:eastAsia="en-US"/>
        </w:rPr>
        <w:t xml:space="preserve">System and method for measuring ice thickness / Pridham R.G. </w:t>
      </w:r>
      <w:proofErr w:type="spellStart"/>
      <w:r w:rsidRPr="00EF27E0">
        <w:rPr>
          <w:rFonts w:eastAsia="Calibri"/>
          <w:sz w:val="20"/>
          <w:szCs w:val="24"/>
          <w:lang w:eastAsia="en-US"/>
        </w:rPr>
        <w:t>Опубл</w:t>
      </w:r>
      <w:proofErr w:type="spellEnd"/>
      <w:r w:rsidRPr="00EF27E0">
        <w:rPr>
          <w:rFonts w:eastAsia="Calibri"/>
          <w:sz w:val="20"/>
          <w:szCs w:val="24"/>
          <w:lang w:val="en-US" w:eastAsia="en-US"/>
        </w:rPr>
        <w:t xml:space="preserve">. </w:t>
      </w:r>
      <w:r w:rsidRPr="00EF27E0">
        <w:rPr>
          <w:rFonts w:eastAsia="Calibri"/>
          <w:sz w:val="20"/>
          <w:szCs w:val="24"/>
          <w:lang w:eastAsia="en-US"/>
        </w:rPr>
        <w:t>29.09.1987.</w:t>
      </w:r>
    </w:p>
    <w:p w14:paraId="72C5013E" w14:textId="77777777" w:rsidR="00354CA4" w:rsidRPr="00583399" w:rsidRDefault="00354CA4" w:rsidP="00583399">
      <w:pPr>
        <w:widowControl/>
        <w:overflowPunct/>
        <w:autoSpaceDE/>
        <w:autoSpaceDN/>
        <w:adjustRightInd/>
        <w:ind w:left="336"/>
        <w:jc w:val="both"/>
        <w:textAlignment w:val="auto"/>
        <w:rPr>
          <w:rStyle w:val="a7"/>
          <w:color w:val="000000" w:themeColor="text1"/>
          <w:sz w:val="18"/>
          <w:szCs w:val="22"/>
        </w:rPr>
      </w:pPr>
    </w:p>
    <w:sectPr w:rsidR="00354CA4" w:rsidRPr="00583399" w:rsidSect="00C244E8">
      <w:pgSz w:w="11907" w:h="16840" w:code="9"/>
      <w:pgMar w:top="1134" w:right="1134" w:bottom="1134" w:left="1418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505F7"/>
    <w:multiLevelType w:val="hybridMultilevel"/>
    <w:tmpl w:val="1AC07A12"/>
    <w:lvl w:ilvl="0" w:tplc="BAD289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8A499B"/>
    <w:multiLevelType w:val="hybridMultilevel"/>
    <w:tmpl w:val="8DF0CBBC"/>
    <w:lvl w:ilvl="0" w:tplc="5BB474D4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C1F7565"/>
    <w:multiLevelType w:val="hybridMultilevel"/>
    <w:tmpl w:val="C3EAA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080FEA"/>
    <w:multiLevelType w:val="hybridMultilevel"/>
    <w:tmpl w:val="7C7C1AF8"/>
    <w:lvl w:ilvl="0" w:tplc="BAD28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16D24"/>
    <w:multiLevelType w:val="hybridMultilevel"/>
    <w:tmpl w:val="B6267D18"/>
    <w:lvl w:ilvl="0" w:tplc="BAD28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E40F8"/>
    <w:multiLevelType w:val="hybridMultilevel"/>
    <w:tmpl w:val="2CFE6C2C"/>
    <w:lvl w:ilvl="0" w:tplc="BAD289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93035613">
    <w:abstractNumId w:val="3"/>
  </w:num>
  <w:num w:numId="2" w16cid:durableId="1555964181">
    <w:abstractNumId w:val="0"/>
  </w:num>
  <w:num w:numId="3" w16cid:durableId="166555179">
    <w:abstractNumId w:val="4"/>
  </w:num>
  <w:num w:numId="4" w16cid:durableId="121965631">
    <w:abstractNumId w:val="2"/>
  </w:num>
  <w:num w:numId="5" w16cid:durableId="824510365">
    <w:abstractNumId w:val="5"/>
  </w:num>
  <w:num w:numId="6" w16cid:durableId="404183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830"/>
    <w:rsid w:val="00004114"/>
    <w:rsid w:val="00005090"/>
    <w:rsid w:val="00011FFF"/>
    <w:rsid w:val="00012E45"/>
    <w:rsid w:val="0001731C"/>
    <w:rsid w:val="00022BE0"/>
    <w:rsid w:val="00035665"/>
    <w:rsid w:val="000456ED"/>
    <w:rsid w:val="00060F6A"/>
    <w:rsid w:val="0006616E"/>
    <w:rsid w:val="000702C0"/>
    <w:rsid w:val="000C08DA"/>
    <w:rsid w:val="001069CA"/>
    <w:rsid w:val="00115896"/>
    <w:rsid w:val="00126799"/>
    <w:rsid w:val="001C2075"/>
    <w:rsid w:val="001C355F"/>
    <w:rsid w:val="001D3935"/>
    <w:rsid w:val="002023B2"/>
    <w:rsid w:val="00202FBC"/>
    <w:rsid w:val="002061B7"/>
    <w:rsid w:val="0021675D"/>
    <w:rsid w:val="002218C2"/>
    <w:rsid w:val="00236EBC"/>
    <w:rsid w:val="002742D4"/>
    <w:rsid w:val="0027715C"/>
    <w:rsid w:val="00290EBE"/>
    <w:rsid w:val="00296CB5"/>
    <w:rsid w:val="002A40DB"/>
    <w:rsid w:val="002A6B2A"/>
    <w:rsid w:val="002B5D25"/>
    <w:rsid w:val="002C5788"/>
    <w:rsid w:val="002C78D0"/>
    <w:rsid w:val="002D0045"/>
    <w:rsid w:val="002D5954"/>
    <w:rsid w:val="002E1D68"/>
    <w:rsid w:val="002E7744"/>
    <w:rsid w:val="0031028E"/>
    <w:rsid w:val="00310F7D"/>
    <w:rsid w:val="00315962"/>
    <w:rsid w:val="00354CA4"/>
    <w:rsid w:val="003A2525"/>
    <w:rsid w:val="003B6F6F"/>
    <w:rsid w:val="00400B89"/>
    <w:rsid w:val="00423AB0"/>
    <w:rsid w:val="00471158"/>
    <w:rsid w:val="0049513C"/>
    <w:rsid w:val="004A1570"/>
    <w:rsid w:val="004B0BA1"/>
    <w:rsid w:val="004C2830"/>
    <w:rsid w:val="004E2B42"/>
    <w:rsid w:val="004F0139"/>
    <w:rsid w:val="00500205"/>
    <w:rsid w:val="005153CC"/>
    <w:rsid w:val="00583399"/>
    <w:rsid w:val="00586E8B"/>
    <w:rsid w:val="005B35B8"/>
    <w:rsid w:val="005C66F0"/>
    <w:rsid w:val="005E24B7"/>
    <w:rsid w:val="005E49AC"/>
    <w:rsid w:val="005F28A0"/>
    <w:rsid w:val="005F4C9B"/>
    <w:rsid w:val="00636B18"/>
    <w:rsid w:val="00641C26"/>
    <w:rsid w:val="00646EAD"/>
    <w:rsid w:val="00651C70"/>
    <w:rsid w:val="00677356"/>
    <w:rsid w:val="006A000C"/>
    <w:rsid w:val="006B49B8"/>
    <w:rsid w:val="006D47D9"/>
    <w:rsid w:val="007342C0"/>
    <w:rsid w:val="0076089C"/>
    <w:rsid w:val="00774AF6"/>
    <w:rsid w:val="00793E23"/>
    <w:rsid w:val="007F277A"/>
    <w:rsid w:val="008137D9"/>
    <w:rsid w:val="00830DD7"/>
    <w:rsid w:val="00831086"/>
    <w:rsid w:val="008845FD"/>
    <w:rsid w:val="008C7204"/>
    <w:rsid w:val="008C77F0"/>
    <w:rsid w:val="008E1F6E"/>
    <w:rsid w:val="00915C27"/>
    <w:rsid w:val="009305FF"/>
    <w:rsid w:val="009337C2"/>
    <w:rsid w:val="00933B87"/>
    <w:rsid w:val="0093444E"/>
    <w:rsid w:val="00947898"/>
    <w:rsid w:val="00957C9C"/>
    <w:rsid w:val="009A3C1E"/>
    <w:rsid w:val="009B2575"/>
    <w:rsid w:val="009C74AF"/>
    <w:rsid w:val="009D4B06"/>
    <w:rsid w:val="009E30B6"/>
    <w:rsid w:val="00A1651E"/>
    <w:rsid w:val="00A16D03"/>
    <w:rsid w:val="00A30A9B"/>
    <w:rsid w:val="00A6524E"/>
    <w:rsid w:val="00AA2414"/>
    <w:rsid w:val="00AE6C49"/>
    <w:rsid w:val="00AF4970"/>
    <w:rsid w:val="00AF635D"/>
    <w:rsid w:val="00AF65BE"/>
    <w:rsid w:val="00B01471"/>
    <w:rsid w:val="00B03F38"/>
    <w:rsid w:val="00B3439A"/>
    <w:rsid w:val="00B76167"/>
    <w:rsid w:val="00B81B71"/>
    <w:rsid w:val="00B92E00"/>
    <w:rsid w:val="00B94C12"/>
    <w:rsid w:val="00BB73C4"/>
    <w:rsid w:val="00BD3B4C"/>
    <w:rsid w:val="00C151D4"/>
    <w:rsid w:val="00C214E8"/>
    <w:rsid w:val="00C21ED6"/>
    <w:rsid w:val="00C244E8"/>
    <w:rsid w:val="00C34A79"/>
    <w:rsid w:val="00CB3328"/>
    <w:rsid w:val="00CB5E50"/>
    <w:rsid w:val="00D04997"/>
    <w:rsid w:val="00D31B87"/>
    <w:rsid w:val="00D577DF"/>
    <w:rsid w:val="00D83174"/>
    <w:rsid w:val="00D97C1D"/>
    <w:rsid w:val="00DB2213"/>
    <w:rsid w:val="00E0238D"/>
    <w:rsid w:val="00E31012"/>
    <w:rsid w:val="00E4330F"/>
    <w:rsid w:val="00E54BB3"/>
    <w:rsid w:val="00E75702"/>
    <w:rsid w:val="00EA235B"/>
    <w:rsid w:val="00EB44F5"/>
    <w:rsid w:val="00EB675A"/>
    <w:rsid w:val="00EF27E0"/>
    <w:rsid w:val="00F1647D"/>
    <w:rsid w:val="00F364D4"/>
    <w:rsid w:val="00F46C29"/>
    <w:rsid w:val="00F5055D"/>
    <w:rsid w:val="00F65EC9"/>
    <w:rsid w:val="00FB1864"/>
    <w:rsid w:val="00FB360E"/>
    <w:rsid w:val="00FC4C10"/>
    <w:rsid w:val="00FC6EBE"/>
    <w:rsid w:val="00FE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6FC79"/>
  <w15:docId w15:val="{410217B1-724A-4672-B62C-B3FC874E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DD7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EB675A"/>
    <w:pPr>
      <w:keepNext/>
      <w:keepLines/>
      <w:widowControl/>
      <w:suppressAutoHyphens/>
      <w:autoSpaceDE/>
      <w:autoSpaceDN/>
      <w:adjustRightInd/>
      <w:spacing w:line="360" w:lineRule="auto"/>
      <w:ind w:left="1571" w:hanging="360"/>
      <w:jc w:val="both"/>
      <w:textAlignment w:val="auto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</w:pPr>
    <w:rPr>
      <w:i/>
      <w:sz w:val="16"/>
    </w:rPr>
  </w:style>
  <w:style w:type="paragraph" w:customStyle="1" w:styleId="21">
    <w:name w:val="заголовок 2"/>
    <w:basedOn w:val="a"/>
    <w:next w:val="a"/>
    <w:pPr>
      <w:keepNext/>
      <w:tabs>
        <w:tab w:val="left" w:pos="2268"/>
      </w:tabs>
    </w:pPr>
    <w:rPr>
      <w:rFonts w:ascii="Arial" w:hAnsi="Arial"/>
      <w:i/>
      <w:sz w:val="28"/>
    </w:rPr>
  </w:style>
  <w:style w:type="paragraph" w:customStyle="1" w:styleId="3">
    <w:name w:val="заголовок 3"/>
    <w:basedOn w:val="a"/>
    <w:next w:val="a"/>
    <w:pPr>
      <w:keepNext/>
      <w:tabs>
        <w:tab w:val="left" w:pos="284"/>
        <w:tab w:val="left" w:pos="2127"/>
      </w:tabs>
      <w:ind w:left="-142" w:firstLine="142"/>
    </w:pPr>
    <w:rPr>
      <w:rFonts w:ascii="Arial" w:hAnsi="Arial"/>
      <w:i/>
      <w:sz w:val="16"/>
    </w:rPr>
  </w:style>
  <w:style w:type="character" w:customStyle="1" w:styleId="a3">
    <w:name w:val="Основной шрифт"/>
  </w:style>
  <w:style w:type="paragraph" w:styleId="a4">
    <w:name w:val="Balloon Text"/>
    <w:basedOn w:val="a"/>
    <w:link w:val="a5"/>
    <w:uiPriority w:val="99"/>
    <w:semiHidden/>
    <w:unhideWhenUsed/>
    <w:rsid w:val="00AA24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4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3F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115896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115896"/>
    <w:rPr>
      <w:color w:val="0000FF" w:themeColor="hyperlink"/>
      <w:u w:val="single"/>
    </w:rPr>
  </w:style>
  <w:style w:type="paragraph" w:styleId="a8">
    <w:name w:val="No Spacing"/>
    <w:uiPriority w:val="1"/>
    <w:qFormat/>
    <w:rsid w:val="0011589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B675A"/>
    <w:rPr>
      <w:rFonts w:eastAsiaTheme="majorEastAsia" w:cstheme="majorBidi"/>
      <w:b/>
      <w:bCs/>
      <w:sz w:val="28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f_mag_201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E920A-46F0-4974-9346-2294629A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МФП</Company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Канцелярия</cp:lastModifiedBy>
  <cp:revision>7</cp:revision>
  <cp:lastPrinted>2015-07-21T10:48:00Z</cp:lastPrinted>
  <dcterms:created xsi:type="dcterms:W3CDTF">2025-04-11T13:02:00Z</dcterms:created>
  <dcterms:modified xsi:type="dcterms:W3CDTF">2025-06-30T07:40:00Z</dcterms:modified>
</cp:coreProperties>
</file>